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3003A5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3003A5">
        <w:rPr>
          <w:b w:val="0"/>
          <w:sz w:val="28"/>
          <w:szCs w:val="28"/>
        </w:rPr>
        <w:t>1</w:t>
      </w:r>
      <w:r w:rsidR="00D61411">
        <w:rPr>
          <w:b w:val="0"/>
          <w:sz w:val="28"/>
          <w:szCs w:val="28"/>
        </w:rPr>
        <w:t>9 апреля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3003A5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3003A5">
        <w:rPr>
          <w:spacing w:val="2"/>
          <w:sz w:val="28"/>
          <w:szCs w:val="28"/>
          <w:lang w:val="kk-KZ"/>
        </w:rPr>
        <w:t>4 796 562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D61411">
        <w:rPr>
          <w:spacing w:val="2"/>
          <w:sz w:val="28"/>
          <w:szCs w:val="28"/>
          <w:lang w:val="kk-KZ"/>
        </w:rPr>
        <w:t xml:space="preserve">согласно приложения </w:t>
      </w:r>
      <w:r w:rsidR="003003A5">
        <w:rPr>
          <w:spacing w:val="2"/>
          <w:sz w:val="28"/>
          <w:szCs w:val="28"/>
          <w:lang w:val="kk-KZ"/>
        </w:rPr>
        <w:t>2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3003A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6</w:t>
      </w:r>
      <w:r w:rsidR="0001408B">
        <w:rPr>
          <w:spacing w:val="2"/>
          <w:sz w:val="28"/>
          <w:szCs w:val="28"/>
          <w:lang w:val="kk-KZ"/>
        </w:rPr>
        <w:t>.0</w:t>
      </w:r>
      <w:r w:rsidR="00493893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D61411">
        <w:rPr>
          <w:spacing w:val="2"/>
          <w:sz w:val="28"/>
          <w:szCs w:val="28"/>
          <w:lang w:val="kk-KZ"/>
        </w:rPr>
        <w:t>4:3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3003A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6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493893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D61411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:</w:t>
      </w:r>
      <w:r w:rsidR="00D61411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3003A5" w:rsidRPr="003003A5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D61411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3003A5">
        <w:rPr>
          <w:b w:val="0"/>
          <w:sz w:val="28"/>
          <w:szCs w:val="28"/>
          <w:lang w:val="kk-KZ"/>
        </w:rPr>
        <w:t>1</w:t>
      </w:r>
      <w:r>
        <w:rPr>
          <w:b w:val="0"/>
          <w:sz w:val="28"/>
          <w:szCs w:val="28"/>
        </w:rPr>
        <w:t xml:space="preserve">9 </w:t>
      </w:r>
      <w:r>
        <w:rPr>
          <w:b w:val="0"/>
          <w:sz w:val="28"/>
          <w:szCs w:val="28"/>
          <w:lang w:val="kk-KZ"/>
        </w:rPr>
        <w:t>сәуі</w:t>
      </w:r>
      <w:proofErr w:type="gramStart"/>
      <w:r>
        <w:rPr>
          <w:b w:val="0"/>
          <w:sz w:val="28"/>
          <w:szCs w:val="28"/>
          <w:lang w:val="kk-KZ"/>
        </w:rPr>
        <w:t>р</w:t>
      </w:r>
      <w:proofErr w:type="gramEnd"/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3003A5">
        <w:rPr>
          <w:bCs/>
          <w:sz w:val="28"/>
          <w:szCs w:val="28"/>
          <w:lang w:val="kk-KZ"/>
        </w:rPr>
        <w:t>4 796 562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="003003A5">
        <w:rPr>
          <w:spacing w:val="2"/>
          <w:sz w:val="28"/>
          <w:szCs w:val="28"/>
          <w:lang w:val="kk-KZ"/>
        </w:rPr>
        <w:t>2</w:t>
      </w:r>
      <w:r w:rsidRPr="00D61411">
        <w:rPr>
          <w:spacing w:val="2"/>
          <w:sz w:val="28"/>
          <w:szCs w:val="28"/>
          <w:lang w:val="kk-KZ"/>
        </w:rPr>
        <w:t>-қосымшаға сәйкес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</w:t>
      </w:r>
      <w:r w:rsidR="003003A5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6.04.2018 ж. сағат 14:30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3003A5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 xml:space="preserve">6.04.2018 ж. сағат 14:30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3003A5"/>
    <w:rsid w:val="0030185C"/>
    <w:rsid w:val="003221C9"/>
    <w:rsid w:val="00357AED"/>
    <w:rsid w:val="003C41B4"/>
    <w:rsid w:val="003F2140"/>
    <w:rsid w:val="003F4F56"/>
    <w:rsid w:val="00402C1D"/>
    <w:rsid w:val="004156B1"/>
    <w:rsid w:val="00434108"/>
    <w:rsid w:val="004577D5"/>
    <w:rsid w:val="00493893"/>
    <w:rsid w:val="004B4D85"/>
    <w:rsid w:val="004C23C8"/>
    <w:rsid w:val="004F6A92"/>
    <w:rsid w:val="00507969"/>
    <w:rsid w:val="00541007"/>
    <w:rsid w:val="00546820"/>
    <w:rsid w:val="00602BC7"/>
    <w:rsid w:val="006842E4"/>
    <w:rsid w:val="006F2B51"/>
    <w:rsid w:val="00744806"/>
    <w:rsid w:val="00795E34"/>
    <w:rsid w:val="00826C92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2018-04-19T05:08:00Z</cp:lastPrinted>
  <dcterms:created xsi:type="dcterms:W3CDTF">2017-02-17T03:17:00Z</dcterms:created>
  <dcterms:modified xsi:type="dcterms:W3CDTF">2018-04-19T05:12:00Z</dcterms:modified>
</cp:coreProperties>
</file>