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56E" w:rsidRDefault="004F356E" w:rsidP="004F356E">
      <w:pPr>
        <w:pStyle w:val="1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Приложение 1</w:t>
      </w:r>
    </w:p>
    <w:p w:rsidR="00F25BEA" w:rsidRDefault="00427C32" w:rsidP="00F25BEA">
      <w:pPr>
        <w:pStyle w:val="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Техническая спецификация</w:t>
      </w:r>
      <w:r w:rsidR="00F25BEA" w:rsidRPr="000A1F75">
        <w:rPr>
          <w:rFonts w:ascii="Times New Roman" w:hAnsi="Times New Roman"/>
          <w:b/>
        </w:rPr>
        <w:t xml:space="preserve"> </w:t>
      </w:r>
    </w:p>
    <w:p w:rsidR="004974B8" w:rsidRDefault="004974B8" w:rsidP="004974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101"/>
        <w:gridCol w:w="7654"/>
        <w:gridCol w:w="851"/>
        <w:gridCol w:w="708"/>
        <w:gridCol w:w="1276"/>
        <w:gridCol w:w="1985"/>
        <w:gridCol w:w="1701"/>
      </w:tblGrid>
      <w:tr w:rsidR="003D7D65" w:rsidTr="003D7D65">
        <w:tc>
          <w:tcPr>
            <w:tcW w:w="1101" w:type="dxa"/>
          </w:tcPr>
          <w:p w:rsidR="003D7D65" w:rsidRPr="000A1F75" w:rsidRDefault="003D7D6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3D7D65" w:rsidRPr="000A1F75" w:rsidRDefault="003D7D6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Краткая характеристика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D7D65" w:rsidRPr="000A1F75" w:rsidRDefault="003D7D6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proofErr w:type="spellStart"/>
            <w:r w:rsidRPr="000A1F75">
              <w:rPr>
                <w:rFonts w:ascii="Times New Roman" w:hAnsi="Times New Roman" w:cs="Times New Roman"/>
                <w:b/>
              </w:rPr>
              <w:t>Ед</w:t>
            </w:r>
            <w:proofErr w:type="spellEnd"/>
            <w:r w:rsidRPr="000A1F75">
              <w:rPr>
                <w:rFonts w:ascii="Times New Roman" w:hAnsi="Times New Roman" w:cs="Times New Roman"/>
                <w:b/>
              </w:rPr>
              <w:t xml:space="preserve"> изм.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D7D65" w:rsidRPr="000A1F75" w:rsidRDefault="003D7D6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 w:rsidRPr="000A1F75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D7D65" w:rsidRDefault="003D7D6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D7D65" w:rsidRPr="000A1F75" w:rsidRDefault="003D7D6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D7D65" w:rsidRDefault="003D7D65" w:rsidP="004974B8">
            <w:pPr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</w:tr>
      <w:tr w:rsidR="003D7D65" w:rsidRPr="00444844" w:rsidTr="003D7D65">
        <w:tc>
          <w:tcPr>
            <w:tcW w:w="1101" w:type="dxa"/>
            <w:tcBorders>
              <w:right w:val="single" w:sz="4" w:space="0" w:color="auto"/>
            </w:tcBorders>
          </w:tcPr>
          <w:p w:rsidR="003D7D65" w:rsidRPr="00B85DCD" w:rsidRDefault="003D7D65" w:rsidP="00CB22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5DCD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Коагулометр</w:t>
            </w:r>
            <w:r w:rsidRPr="00B85DC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7D65" w:rsidRDefault="003D7D65" w:rsidP="00D77CEC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Анализатор гемостаза для определения </w:t>
            </w:r>
            <w:proofErr w:type="spellStart"/>
            <w:r>
              <w:rPr>
                <w:rFonts w:ascii="Times New Roman" w:hAnsi="Times New Roman" w:cs="Times New Roman"/>
              </w:rPr>
              <w:t>протромбинового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времени, активированного частичного </w:t>
            </w:r>
            <w:proofErr w:type="spellStart"/>
            <w:r>
              <w:rPr>
                <w:rFonts w:ascii="Times New Roman" w:hAnsi="Times New Roman" w:cs="Times New Roman"/>
              </w:rPr>
              <w:t>тромбинового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времени, фибриногена, </w:t>
            </w:r>
            <w:proofErr w:type="spellStart"/>
            <w:r>
              <w:rPr>
                <w:rFonts w:ascii="Times New Roman" w:hAnsi="Times New Roman" w:cs="Times New Roman"/>
              </w:rPr>
              <w:t>тромбинового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времени, фактора свертывания </w:t>
            </w:r>
            <w:r>
              <w:rPr>
                <w:rFonts w:ascii="Times New Roman" w:hAnsi="Times New Roman" w:cs="Times New Roman"/>
                <w:lang w:val="en-US"/>
              </w:rPr>
              <w:t>VIII</w:t>
            </w:r>
            <w:r>
              <w:rPr>
                <w:rFonts w:ascii="Times New Roman" w:hAnsi="Times New Roman" w:cs="Times New Roman"/>
              </w:rPr>
              <w:t>, протеина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</w:rPr>
              <w:t xml:space="preserve">, протеина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 xml:space="preserve">, антитромбина  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>
              <w:rPr>
                <w:rFonts w:ascii="Times New Roman" w:hAnsi="Times New Roman" w:cs="Times New Roman"/>
              </w:rPr>
              <w:t xml:space="preserve">, гепарина, низкомолекулярного гепарина. </w:t>
            </w:r>
          </w:p>
          <w:p w:rsidR="003D7D65" w:rsidRDefault="003D7D65" w:rsidP="00CD1A03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proofErr w:type="spellStart"/>
            <w:r>
              <w:rPr>
                <w:rFonts w:ascii="Times New Roman" w:hAnsi="Times New Roman" w:cs="Times New Roman"/>
              </w:rPr>
              <w:t>Коагулометр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полуавтоматический, для оценки показателей свертываемости крови. Диапазон реакционного объема 150-500 </w:t>
            </w:r>
            <w:proofErr w:type="spellStart"/>
            <w:r>
              <w:rPr>
                <w:rFonts w:ascii="Times New Roman" w:hAnsi="Times New Roman" w:cs="Times New Roman"/>
              </w:rPr>
              <w:t>мкл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На конечный результат исследования не влияют такие факторы как гемолиз, лимфа, мутность и вязкость плазмы. </w:t>
            </w:r>
            <w:proofErr w:type="spellStart"/>
            <w:r>
              <w:rPr>
                <w:rFonts w:ascii="Times New Roman" w:hAnsi="Times New Roman" w:cs="Times New Roman"/>
              </w:rPr>
              <w:t>Коагулометр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содержит 4 измерительных канала, 16 подогреваемых позиций образцов, 2 позиций реагентов без подогрева и 5 подогреваемых позиций для реагентов. </w:t>
            </w:r>
          </w:p>
          <w:p w:rsidR="003D7D65" w:rsidRDefault="003D7D65" w:rsidP="00CD1A03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Методы анализа: </w:t>
            </w:r>
            <w:proofErr w:type="spellStart"/>
            <w:r>
              <w:rPr>
                <w:rFonts w:ascii="Times New Roman" w:hAnsi="Times New Roman" w:cs="Times New Roman"/>
              </w:rPr>
              <w:t>клоттинговый</w:t>
            </w:r>
            <w:proofErr w:type="spellEnd"/>
            <w:r>
              <w:rPr>
                <w:rFonts w:ascii="Times New Roman" w:hAnsi="Times New Roman" w:cs="Times New Roman"/>
              </w:rPr>
              <w:t>, хромогенный. Температура инкубации 37</w:t>
            </w:r>
            <w:r>
              <w:rPr>
                <w:rFonts w:ascii="Times New Roman" w:hAnsi="Times New Roman" w:cs="Times New Roman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</w:rPr>
              <w:t xml:space="preserve">С ± 0,2. Объем пробы 50 </w:t>
            </w:r>
            <w:proofErr w:type="spellStart"/>
            <w:r>
              <w:rPr>
                <w:rFonts w:ascii="Times New Roman" w:hAnsi="Times New Roman" w:cs="Times New Roman"/>
              </w:rPr>
              <w:t>мкл</w:t>
            </w:r>
            <w:proofErr w:type="spellEnd"/>
            <w:r>
              <w:rPr>
                <w:rFonts w:ascii="Times New Roman" w:hAnsi="Times New Roman" w:cs="Times New Roman"/>
              </w:rPr>
              <w:t xml:space="preserve">, объем реагента 50-100 </w:t>
            </w:r>
            <w:proofErr w:type="spellStart"/>
            <w:r>
              <w:rPr>
                <w:rFonts w:ascii="Times New Roman" w:hAnsi="Times New Roman" w:cs="Times New Roman"/>
              </w:rPr>
              <w:t>мкл</w:t>
            </w:r>
            <w:proofErr w:type="spellEnd"/>
            <w:r>
              <w:rPr>
                <w:rFonts w:ascii="Times New Roman" w:hAnsi="Times New Roman" w:cs="Times New Roman"/>
              </w:rPr>
              <w:t xml:space="preserve">. Имеется встроенный таймер, жидкокристаллический дисплей 5 строк × 30 символов, обладает возможностью распечатывания результата на встроенном принтере. Также имеются автоматический старт измерения времени свертываемости, открытая система для реагентов, программа контроля качества, возможность делать </w:t>
            </w:r>
            <w:r>
              <w:rPr>
                <w:rFonts w:ascii="Times New Roman" w:hAnsi="Times New Roman" w:cs="Times New Roman"/>
                <w:lang w:val="en-US"/>
              </w:rPr>
              <w:t>stat</w:t>
            </w:r>
            <w:r>
              <w:rPr>
                <w:rFonts w:ascii="Times New Roman" w:hAnsi="Times New Roman" w:cs="Times New Roman"/>
              </w:rPr>
              <w:t xml:space="preserve"> анализы и высокую </w:t>
            </w:r>
            <w:proofErr w:type="spellStart"/>
            <w:r>
              <w:rPr>
                <w:rFonts w:ascii="Times New Roman" w:hAnsi="Times New Roman" w:cs="Times New Roman"/>
              </w:rPr>
              <w:t>воспроизводимость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результатов с точность анализа ≤ 5 %. </w:t>
            </w:r>
          </w:p>
          <w:p w:rsidR="003D7D65" w:rsidRDefault="003D7D65" w:rsidP="00CD1A03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Память соответствует следующим параметрам: 18 калибровочных кривых по 5 точкам. Клавиатура в виде матрицы с цифровыми клавишами и с клавишами быстрого доступа. Размеры 355×343×152 ± 10 мм. </w:t>
            </w:r>
          </w:p>
          <w:p w:rsidR="003D7D65" w:rsidRDefault="003D7D65" w:rsidP="00CD1A03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В комплекте с </w:t>
            </w:r>
            <w:proofErr w:type="spellStart"/>
            <w:r>
              <w:rPr>
                <w:rFonts w:ascii="Times New Roman" w:hAnsi="Times New Roman" w:cs="Times New Roman"/>
              </w:rPr>
              <w:t>коагулометром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идут: источник питания, шнур, кабель, автоматическая пипетка с переменным объемом 20-200, бумага для принтера, предохранители. Срок гарантии 37 месяцев.</w:t>
            </w:r>
          </w:p>
          <w:p w:rsidR="003D7D65" w:rsidRDefault="003D7D65" w:rsidP="00CD1A03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При поставке товара будут предоставлены: инструкция к использованию, техническая документация на русском языке, сведения о регистрации в МЗ РК, сведения о внесении прибора в реестр СИ.</w:t>
            </w:r>
          </w:p>
          <w:p w:rsidR="003D7D65" w:rsidRDefault="003D7D65" w:rsidP="00CD1A03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Кроме того, будут предоставлены следующие сопутствующие услуги: доставка, инсталляция оборудования, обучение выполнению исследований с применением данного оборудования медицинского персонала на рабочем месте с предоставлением стартового набора, который включает в себя </w:t>
            </w:r>
            <w:proofErr w:type="spellStart"/>
            <w:r>
              <w:rPr>
                <w:rFonts w:ascii="Times New Roman" w:hAnsi="Times New Roman" w:cs="Times New Roman"/>
              </w:rPr>
              <w:t>реагентику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определения параметров и расходные материалы (кюветы, стальные шарики и т.п.), которые включены в заявленную стоимость</w:t>
            </w:r>
          </w:p>
          <w:p w:rsidR="003D7D65" w:rsidRDefault="003D7D65" w:rsidP="00CD1A03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У потенциального поставщика имеется сервисная служба. </w:t>
            </w:r>
          </w:p>
          <w:p w:rsidR="003D7D65" w:rsidRPr="00444844" w:rsidRDefault="003D7D65" w:rsidP="00CD1A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65" w:rsidRPr="00444844" w:rsidRDefault="003D7D65" w:rsidP="003D7D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8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D65" w:rsidRPr="00444844" w:rsidRDefault="003D7D65" w:rsidP="003D7D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D65" w:rsidRDefault="003D7D65" w:rsidP="003D7D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D65" w:rsidRDefault="003D7D65" w:rsidP="00427C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 календарных дней с момента заключения договора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D65" w:rsidRDefault="003D7D65" w:rsidP="004F356E">
            <w:pPr>
              <w:contextualSpacing/>
              <w:jc w:val="center"/>
              <w:rPr>
                <w:sz w:val="24"/>
                <w:szCs w:val="24"/>
              </w:rPr>
            </w:pPr>
            <w:r w:rsidRPr="007F04F1">
              <w:rPr>
                <w:sz w:val="24"/>
                <w:szCs w:val="24"/>
              </w:rPr>
              <w:t>КГП</w:t>
            </w:r>
            <w:r>
              <w:rPr>
                <w:sz w:val="24"/>
                <w:szCs w:val="24"/>
              </w:rPr>
              <w:t xml:space="preserve"> на ПХВ</w:t>
            </w:r>
            <w:r w:rsidRPr="007F04F1">
              <w:rPr>
                <w:sz w:val="24"/>
                <w:szCs w:val="24"/>
              </w:rPr>
              <w:t xml:space="preserve"> «Областной противотуберкулезный диспансер» </w:t>
            </w:r>
            <w:r>
              <w:rPr>
                <w:sz w:val="24"/>
                <w:szCs w:val="24"/>
              </w:rPr>
              <w:t xml:space="preserve"> КГУ «УЗ </w:t>
            </w:r>
            <w:proofErr w:type="spellStart"/>
            <w:r w:rsidRPr="007F04F1">
              <w:rPr>
                <w:sz w:val="24"/>
                <w:szCs w:val="24"/>
              </w:rPr>
              <w:t>акимата</w:t>
            </w:r>
            <w:proofErr w:type="spellEnd"/>
            <w:r w:rsidRPr="007F04F1">
              <w:rPr>
                <w:sz w:val="24"/>
                <w:szCs w:val="24"/>
              </w:rPr>
              <w:t xml:space="preserve"> СКО</w:t>
            </w:r>
            <w:r>
              <w:rPr>
                <w:sz w:val="24"/>
                <w:szCs w:val="24"/>
              </w:rPr>
              <w:t>»,</w:t>
            </w:r>
          </w:p>
          <w:p w:rsidR="003D7D65" w:rsidRDefault="003D7D65" w:rsidP="004F35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4F1">
              <w:rPr>
                <w:color w:val="000000"/>
                <w:sz w:val="24"/>
                <w:szCs w:val="24"/>
              </w:rPr>
              <w:t>г. Петропавловск, ул. 4-</w:t>
            </w:r>
            <w:r>
              <w:rPr>
                <w:color w:val="000000"/>
                <w:sz w:val="24"/>
                <w:szCs w:val="24"/>
              </w:rPr>
              <w:t xml:space="preserve">ая </w:t>
            </w:r>
            <w:r w:rsidRPr="007F04F1">
              <w:rPr>
                <w:color w:val="000000"/>
                <w:sz w:val="24"/>
                <w:szCs w:val="24"/>
              </w:rPr>
              <w:t>Линия, 2</w:t>
            </w:r>
          </w:p>
        </w:tc>
      </w:tr>
    </w:tbl>
    <w:p w:rsidR="00471C0C" w:rsidRDefault="00471C0C" w:rsidP="004658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71C0C" w:rsidSect="00A37C1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5C8"/>
    <w:rsid w:val="00190244"/>
    <w:rsid w:val="00226934"/>
    <w:rsid w:val="00232AC6"/>
    <w:rsid w:val="00244B64"/>
    <w:rsid w:val="00293B12"/>
    <w:rsid w:val="002A38F3"/>
    <w:rsid w:val="00304E10"/>
    <w:rsid w:val="00334AE1"/>
    <w:rsid w:val="003A1C90"/>
    <w:rsid w:val="003C13B1"/>
    <w:rsid w:val="003D4AB6"/>
    <w:rsid w:val="003D7D65"/>
    <w:rsid w:val="00427C32"/>
    <w:rsid w:val="00444844"/>
    <w:rsid w:val="00465859"/>
    <w:rsid w:val="00471C0C"/>
    <w:rsid w:val="00492BA5"/>
    <w:rsid w:val="004974B8"/>
    <w:rsid w:val="004C55C8"/>
    <w:rsid w:val="004F356E"/>
    <w:rsid w:val="00563340"/>
    <w:rsid w:val="005D4C1A"/>
    <w:rsid w:val="00602232"/>
    <w:rsid w:val="00626910"/>
    <w:rsid w:val="00647641"/>
    <w:rsid w:val="006F20F0"/>
    <w:rsid w:val="007239E3"/>
    <w:rsid w:val="00735871"/>
    <w:rsid w:val="007870CB"/>
    <w:rsid w:val="00870E4A"/>
    <w:rsid w:val="009325F4"/>
    <w:rsid w:val="009715CC"/>
    <w:rsid w:val="00987E76"/>
    <w:rsid w:val="009F094C"/>
    <w:rsid w:val="009F7465"/>
    <w:rsid w:val="00A37C1D"/>
    <w:rsid w:val="00B349F9"/>
    <w:rsid w:val="00B85DCD"/>
    <w:rsid w:val="00C37ED0"/>
    <w:rsid w:val="00CA6069"/>
    <w:rsid w:val="00CB22DD"/>
    <w:rsid w:val="00CB3849"/>
    <w:rsid w:val="00CD1A03"/>
    <w:rsid w:val="00D0207A"/>
    <w:rsid w:val="00D07781"/>
    <w:rsid w:val="00D55CAD"/>
    <w:rsid w:val="00D62AB7"/>
    <w:rsid w:val="00D77CEC"/>
    <w:rsid w:val="00DC241F"/>
    <w:rsid w:val="00E252AE"/>
    <w:rsid w:val="00EC5D95"/>
    <w:rsid w:val="00ED292C"/>
    <w:rsid w:val="00F217FE"/>
    <w:rsid w:val="00F25BEA"/>
    <w:rsid w:val="00F60403"/>
    <w:rsid w:val="00F60D60"/>
    <w:rsid w:val="00F70F34"/>
    <w:rsid w:val="00FB31C6"/>
    <w:rsid w:val="00FB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5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5C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qFormat/>
    <w:rsid w:val="004C55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69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6910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5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5C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qFormat/>
    <w:rsid w:val="004C55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69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691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4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E51E3-8907-4A1E-8DD8-618F7CC62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Bauhgalteria</dc:creator>
  <cp:lastModifiedBy>ad</cp:lastModifiedBy>
  <cp:revision>5</cp:revision>
  <cp:lastPrinted>2018-05-30T10:25:00Z</cp:lastPrinted>
  <dcterms:created xsi:type="dcterms:W3CDTF">2019-03-06T09:06:00Z</dcterms:created>
  <dcterms:modified xsi:type="dcterms:W3CDTF">2019-04-03T05:49:00Z</dcterms:modified>
</cp:coreProperties>
</file>