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9A3A14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2"/>
          <w:szCs w:val="22"/>
        </w:rPr>
      </w:pPr>
      <w:r w:rsidRPr="009A3A14">
        <w:rPr>
          <w:bCs w:val="0"/>
          <w:sz w:val="22"/>
          <w:szCs w:val="22"/>
        </w:rPr>
        <w:t xml:space="preserve"> </w:t>
      </w:r>
      <w:r w:rsidR="00D251E0" w:rsidRPr="009A3A14">
        <w:rPr>
          <w:bCs w:val="0"/>
          <w:sz w:val="22"/>
          <w:szCs w:val="22"/>
        </w:rPr>
        <w:t xml:space="preserve"> </w:t>
      </w:r>
      <w:r w:rsidR="00306D12" w:rsidRPr="009A3A14">
        <w:rPr>
          <w:color w:val="000000"/>
          <w:sz w:val="22"/>
          <w:szCs w:val="22"/>
        </w:rPr>
        <w:t xml:space="preserve">Объявление </w:t>
      </w:r>
      <w:r w:rsidR="00B96315" w:rsidRPr="009A3A14">
        <w:rPr>
          <w:color w:val="000000"/>
          <w:sz w:val="22"/>
          <w:szCs w:val="22"/>
        </w:rPr>
        <w:t xml:space="preserve"> № </w:t>
      </w:r>
      <w:r w:rsidR="00232DE1">
        <w:rPr>
          <w:color w:val="000000"/>
          <w:sz w:val="22"/>
          <w:szCs w:val="22"/>
        </w:rPr>
        <w:t>1</w:t>
      </w:r>
      <w:r w:rsidR="00B96315" w:rsidRPr="009A3A14">
        <w:rPr>
          <w:color w:val="000000"/>
          <w:sz w:val="22"/>
          <w:szCs w:val="22"/>
        </w:rPr>
        <w:t xml:space="preserve"> </w:t>
      </w:r>
      <w:r w:rsidR="00B96315" w:rsidRPr="009A3A14">
        <w:rPr>
          <w:bCs w:val="0"/>
          <w:sz w:val="22"/>
          <w:szCs w:val="22"/>
        </w:rPr>
        <w:t xml:space="preserve">о проведении </w:t>
      </w:r>
      <w:r w:rsidR="00C7674A" w:rsidRPr="009A3A14">
        <w:rPr>
          <w:bCs w:val="0"/>
          <w:sz w:val="22"/>
          <w:szCs w:val="22"/>
        </w:rPr>
        <w:t xml:space="preserve">закупа </w:t>
      </w:r>
      <w:r w:rsidR="009A3A14" w:rsidRPr="009A3A14">
        <w:rPr>
          <w:bCs w:val="0"/>
          <w:sz w:val="22"/>
          <w:szCs w:val="22"/>
        </w:rPr>
        <w:t xml:space="preserve">ИМН (реагенты </w:t>
      </w:r>
      <w:r w:rsidR="00991195" w:rsidRPr="00991195">
        <w:rPr>
          <w:bCs w:val="0"/>
          <w:sz w:val="22"/>
          <w:szCs w:val="22"/>
        </w:rPr>
        <w:t xml:space="preserve">для закрытого типа автоматического анализатора </w:t>
      </w:r>
      <w:proofErr w:type="spellStart"/>
      <w:r w:rsidR="00991195" w:rsidRPr="00991195">
        <w:rPr>
          <w:bCs w:val="0"/>
          <w:sz w:val="22"/>
          <w:szCs w:val="22"/>
        </w:rPr>
        <w:t>BioChem</w:t>
      </w:r>
      <w:proofErr w:type="spellEnd"/>
      <w:r w:rsidR="00991195" w:rsidRPr="00991195">
        <w:rPr>
          <w:bCs w:val="0"/>
          <w:sz w:val="22"/>
          <w:szCs w:val="22"/>
        </w:rPr>
        <w:t xml:space="preserve"> FC-200</w:t>
      </w:r>
      <w:r w:rsidR="009A3A14" w:rsidRPr="009A3A14">
        <w:rPr>
          <w:bCs w:val="0"/>
          <w:sz w:val="22"/>
          <w:szCs w:val="22"/>
        </w:rPr>
        <w:t>)</w:t>
      </w:r>
      <w:r w:rsidR="00463240" w:rsidRPr="009A3A14">
        <w:rPr>
          <w:sz w:val="22"/>
          <w:szCs w:val="22"/>
        </w:rPr>
        <w:t xml:space="preserve"> </w:t>
      </w:r>
      <w:r w:rsidR="00B96315" w:rsidRPr="009A3A14">
        <w:rPr>
          <w:sz w:val="22"/>
          <w:szCs w:val="22"/>
        </w:rPr>
        <w:t>на 202</w:t>
      </w:r>
      <w:r w:rsidR="00232DE1">
        <w:rPr>
          <w:sz w:val="22"/>
          <w:szCs w:val="22"/>
        </w:rPr>
        <w:t>5</w:t>
      </w:r>
      <w:r w:rsidR="00B96315" w:rsidRPr="009A3A14">
        <w:rPr>
          <w:sz w:val="22"/>
          <w:szCs w:val="22"/>
        </w:rPr>
        <w:t xml:space="preserve"> год способом проведения тендера</w:t>
      </w:r>
    </w:p>
    <w:p w:rsidR="00306D12" w:rsidRPr="009A3A14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2"/>
          <w:szCs w:val="22"/>
        </w:rPr>
      </w:pPr>
    </w:p>
    <w:p w:rsidR="00306D12" w:rsidRPr="009A3A14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  <w:sz w:val="22"/>
          <w:szCs w:val="22"/>
        </w:rPr>
      </w:pPr>
      <w:r w:rsidRPr="009A3A14">
        <w:rPr>
          <w:b/>
          <w:spacing w:val="2"/>
          <w:sz w:val="22"/>
          <w:szCs w:val="22"/>
        </w:rPr>
        <w:t>КГ</w:t>
      </w:r>
      <w:r w:rsidR="003F2140" w:rsidRPr="009A3A14">
        <w:rPr>
          <w:b/>
          <w:spacing w:val="2"/>
          <w:sz w:val="22"/>
          <w:szCs w:val="22"/>
        </w:rPr>
        <w:t>П</w:t>
      </w:r>
      <w:r w:rsidRPr="009A3A14">
        <w:rPr>
          <w:b/>
          <w:spacing w:val="2"/>
          <w:sz w:val="22"/>
          <w:szCs w:val="22"/>
        </w:rPr>
        <w:t xml:space="preserve"> на ПХВ</w:t>
      </w:r>
      <w:r w:rsidR="003F2140" w:rsidRPr="009A3A14">
        <w:rPr>
          <w:b/>
          <w:spacing w:val="2"/>
          <w:sz w:val="22"/>
          <w:szCs w:val="22"/>
        </w:rPr>
        <w:t xml:space="preserve"> «</w:t>
      </w:r>
      <w:r w:rsidR="00DB5A70" w:rsidRPr="009A3A14">
        <w:rPr>
          <w:b/>
          <w:spacing w:val="2"/>
          <w:sz w:val="22"/>
          <w:szCs w:val="22"/>
        </w:rPr>
        <w:t>Областной центр фтизиопульмонологии</w:t>
      </w:r>
      <w:r w:rsidR="003F2140" w:rsidRPr="009A3A14">
        <w:rPr>
          <w:b/>
          <w:spacing w:val="2"/>
          <w:sz w:val="22"/>
          <w:szCs w:val="22"/>
        </w:rPr>
        <w:t xml:space="preserve">» </w:t>
      </w:r>
      <w:r w:rsidR="001624FB" w:rsidRPr="009A3A14">
        <w:rPr>
          <w:b/>
          <w:spacing w:val="2"/>
          <w:sz w:val="22"/>
          <w:szCs w:val="22"/>
        </w:rPr>
        <w:t xml:space="preserve">КГУ «УЗ </w:t>
      </w:r>
      <w:r w:rsidR="003F2140" w:rsidRPr="009A3A14">
        <w:rPr>
          <w:b/>
          <w:spacing w:val="2"/>
          <w:sz w:val="22"/>
          <w:szCs w:val="22"/>
        </w:rPr>
        <w:t>акимата СКО</w:t>
      </w:r>
      <w:r w:rsidR="001624FB" w:rsidRPr="009A3A14">
        <w:rPr>
          <w:b/>
          <w:spacing w:val="2"/>
          <w:sz w:val="22"/>
          <w:szCs w:val="22"/>
        </w:rPr>
        <w:t>»</w:t>
      </w:r>
    </w:p>
    <w:p w:rsidR="00306D12" w:rsidRPr="009A3A14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 w:rsidRPr="009A3A14">
        <w:rPr>
          <w:spacing w:val="2"/>
          <w:sz w:val="22"/>
          <w:szCs w:val="22"/>
          <w:lang w:val="kk-KZ"/>
        </w:rPr>
        <w:t xml:space="preserve">          </w:t>
      </w:r>
      <w:r w:rsidR="00FC45CC" w:rsidRPr="009A3A14">
        <w:rPr>
          <w:spacing w:val="2"/>
          <w:sz w:val="22"/>
          <w:szCs w:val="22"/>
          <w:lang w:val="kk-KZ"/>
        </w:rPr>
        <w:t xml:space="preserve"> </w:t>
      </w:r>
      <w:r w:rsidR="0041430D">
        <w:rPr>
          <w:spacing w:val="2"/>
          <w:sz w:val="22"/>
          <w:szCs w:val="22"/>
          <w:lang w:val="kk-KZ"/>
        </w:rPr>
        <w:t xml:space="preserve"> </w:t>
      </w:r>
      <w:r w:rsidRPr="009A3A14">
        <w:rPr>
          <w:b/>
          <w:color w:val="000000"/>
          <w:sz w:val="22"/>
          <w:szCs w:val="22"/>
        </w:rPr>
        <w:t>Номер и время размещения объявления:</w:t>
      </w:r>
      <w:r w:rsidRPr="009A3A14">
        <w:rPr>
          <w:color w:val="000000"/>
          <w:sz w:val="22"/>
          <w:szCs w:val="22"/>
        </w:rPr>
        <w:t xml:space="preserve"> №</w:t>
      </w:r>
      <w:r w:rsidR="00CB4FA7" w:rsidRPr="009A3A14">
        <w:rPr>
          <w:color w:val="000000"/>
          <w:sz w:val="22"/>
          <w:szCs w:val="22"/>
        </w:rPr>
        <w:t xml:space="preserve"> </w:t>
      </w:r>
      <w:r w:rsidR="00232DE1">
        <w:rPr>
          <w:color w:val="000000"/>
          <w:sz w:val="22"/>
          <w:szCs w:val="22"/>
        </w:rPr>
        <w:t>1</w:t>
      </w:r>
      <w:r w:rsidRPr="009A3A14">
        <w:rPr>
          <w:color w:val="000000"/>
          <w:sz w:val="22"/>
          <w:szCs w:val="22"/>
        </w:rPr>
        <w:t xml:space="preserve"> от </w:t>
      </w:r>
      <w:r w:rsidR="00171B56">
        <w:rPr>
          <w:color w:val="000000"/>
          <w:sz w:val="22"/>
          <w:szCs w:val="22"/>
        </w:rPr>
        <w:t>25</w:t>
      </w:r>
      <w:r w:rsidR="00ED30F8" w:rsidRPr="009A3A14">
        <w:rPr>
          <w:color w:val="000000"/>
          <w:sz w:val="22"/>
          <w:szCs w:val="22"/>
        </w:rPr>
        <w:t>.</w:t>
      </w:r>
      <w:r w:rsidR="00232DE1">
        <w:rPr>
          <w:color w:val="000000"/>
          <w:sz w:val="22"/>
          <w:szCs w:val="22"/>
        </w:rPr>
        <w:t>12</w:t>
      </w:r>
      <w:r w:rsidRPr="009A3A14">
        <w:rPr>
          <w:color w:val="000000"/>
          <w:sz w:val="22"/>
          <w:szCs w:val="22"/>
        </w:rPr>
        <w:t>.202</w:t>
      </w:r>
      <w:r w:rsidR="0048491C" w:rsidRPr="009A3A14">
        <w:rPr>
          <w:color w:val="000000"/>
          <w:sz w:val="22"/>
          <w:szCs w:val="22"/>
        </w:rPr>
        <w:t>4</w:t>
      </w:r>
      <w:r w:rsidRPr="009A3A14">
        <w:rPr>
          <w:color w:val="000000"/>
          <w:sz w:val="22"/>
          <w:szCs w:val="22"/>
        </w:rPr>
        <w:t xml:space="preserve"> г.</w:t>
      </w:r>
    </w:p>
    <w:p w:rsidR="00306D12" w:rsidRPr="009A3A14" w:rsidRDefault="0041430D" w:rsidP="0041430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  </w:t>
      </w:r>
      <w:r w:rsidR="00306D12" w:rsidRPr="009A3A14">
        <w:rPr>
          <w:b/>
          <w:color w:val="000000"/>
          <w:sz w:val="22"/>
          <w:szCs w:val="22"/>
        </w:rPr>
        <w:t>Юридический адрес:</w:t>
      </w:r>
      <w:r w:rsidR="00306D12" w:rsidRPr="009A3A14">
        <w:rPr>
          <w:color w:val="000000"/>
          <w:sz w:val="22"/>
          <w:szCs w:val="22"/>
        </w:rPr>
        <w:t xml:space="preserve"> </w:t>
      </w:r>
      <w:r w:rsidR="00306D12" w:rsidRPr="009A3A14">
        <w:rPr>
          <w:spacing w:val="2"/>
          <w:sz w:val="22"/>
          <w:szCs w:val="22"/>
          <w:lang w:val="kk-KZ"/>
        </w:rPr>
        <w:t xml:space="preserve"> </w:t>
      </w:r>
      <w:r w:rsidR="00FC45CC" w:rsidRPr="009A3A14">
        <w:rPr>
          <w:spacing w:val="2"/>
          <w:sz w:val="22"/>
          <w:szCs w:val="22"/>
          <w:lang w:val="kk-KZ"/>
        </w:rPr>
        <w:t>Республика Казахстан, СКО, г. Петропавловск, ул. 4-я Линия, 2,</w:t>
      </w:r>
      <w:r w:rsidR="003F2140" w:rsidRPr="009A3A14">
        <w:rPr>
          <w:spacing w:val="2"/>
          <w:sz w:val="22"/>
          <w:szCs w:val="22"/>
        </w:rPr>
        <w:t xml:space="preserve"> </w:t>
      </w:r>
      <w:r w:rsidR="00306D12" w:rsidRPr="009A3A14">
        <w:rPr>
          <w:spacing w:val="2"/>
          <w:sz w:val="22"/>
          <w:szCs w:val="22"/>
        </w:rPr>
        <w:t>БИН-</w:t>
      </w:r>
      <w:r w:rsidR="002805FD" w:rsidRPr="009A3A14">
        <w:rPr>
          <w:spacing w:val="2"/>
          <w:sz w:val="22"/>
          <w:szCs w:val="22"/>
        </w:rPr>
        <w:t xml:space="preserve"> </w:t>
      </w:r>
      <w:r w:rsidR="00306D12" w:rsidRPr="009A3A14">
        <w:rPr>
          <w:sz w:val="22"/>
          <w:szCs w:val="22"/>
        </w:rPr>
        <w:t>951240001014</w:t>
      </w:r>
      <w:r w:rsidR="00306D12" w:rsidRPr="009A3A14">
        <w:rPr>
          <w:spacing w:val="2"/>
          <w:sz w:val="22"/>
          <w:szCs w:val="22"/>
        </w:rPr>
        <w:t xml:space="preserve">,  </w:t>
      </w:r>
      <w:r w:rsidR="00306D12" w:rsidRPr="009A3A14">
        <w:rPr>
          <w:sz w:val="22"/>
          <w:szCs w:val="22"/>
        </w:rPr>
        <w:t xml:space="preserve">АО «Евразийский Банк», ИИК- </w:t>
      </w:r>
      <w:r w:rsidR="00CD79CA" w:rsidRPr="009A3A14">
        <w:rPr>
          <w:sz w:val="22"/>
          <w:szCs w:val="22"/>
        </w:rPr>
        <w:t>KZ0994814KZT22030915</w:t>
      </w:r>
      <w:r w:rsidR="00306D12" w:rsidRPr="009A3A14">
        <w:rPr>
          <w:sz w:val="22"/>
          <w:szCs w:val="22"/>
        </w:rPr>
        <w:t>, БИК- EURIKZKA.</w:t>
      </w:r>
    </w:p>
    <w:p w:rsidR="0067360F" w:rsidRPr="009A3A14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  <w:sz w:val="22"/>
          <w:szCs w:val="22"/>
        </w:rPr>
      </w:pPr>
    </w:p>
    <w:tbl>
      <w:tblPr>
        <w:tblStyle w:val="a6"/>
        <w:tblW w:w="14994" w:type="dxa"/>
        <w:tblLayout w:type="fixed"/>
        <w:tblLook w:val="04A0"/>
      </w:tblPr>
      <w:tblGrid>
        <w:gridCol w:w="709"/>
        <w:gridCol w:w="2801"/>
        <w:gridCol w:w="7513"/>
        <w:gridCol w:w="851"/>
        <w:gridCol w:w="710"/>
        <w:gridCol w:w="1134"/>
        <w:gridCol w:w="1276"/>
      </w:tblGrid>
      <w:tr w:rsidR="00157E12" w:rsidRPr="009A3A14" w:rsidTr="00A7186B">
        <w:trPr>
          <w:trHeight w:val="912"/>
        </w:trPr>
        <w:tc>
          <w:tcPr>
            <w:tcW w:w="709" w:type="dxa"/>
          </w:tcPr>
          <w:p w:rsidR="00157E12" w:rsidRPr="009A3A14" w:rsidRDefault="00157E1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  <w:sz w:val="22"/>
                <w:szCs w:val="22"/>
              </w:rPr>
            </w:pPr>
            <w:r w:rsidRPr="009A3A14">
              <w:rPr>
                <w:b/>
                <w:color w:val="000000"/>
                <w:sz w:val="22"/>
                <w:szCs w:val="22"/>
              </w:rPr>
              <w:t>№ лота</w:t>
            </w:r>
          </w:p>
        </w:tc>
        <w:tc>
          <w:tcPr>
            <w:tcW w:w="2801" w:type="dxa"/>
            <w:vAlign w:val="center"/>
          </w:tcPr>
          <w:p w:rsidR="00157E12" w:rsidRPr="009A3A14" w:rsidRDefault="00157E12" w:rsidP="00157E1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 w:rsidRPr="009A3A14">
              <w:rPr>
                <w:b/>
                <w:color w:val="000000"/>
                <w:sz w:val="22"/>
                <w:szCs w:val="22"/>
              </w:rPr>
              <w:t xml:space="preserve">Наименование </w:t>
            </w:r>
            <w:r>
              <w:rPr>
                <w:b/>
                <w:color w:val="000000"/>
                <w:sz w:val="22"/>
                <w:szCs w:val="22"/>
              </w:rPr>
              <w:t>ИМН</w:t>
            </w:r>
          </w:p>
        </w:tc>
        <w:tc>
          <w:tcPr>
            <w:tcW w:w="7513" w:type="dxa"/>
            <w:vAlign w:val="center"/>
          </w:tcPr>
          <w:p w:rsidR="00157E12" w:rsidRPr="009A3A14" w:rsidRDefault="00157E12" w:rsidP="00157E1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Характеристика</w:t>
            </w:r>
          </w:p>
        </w:tc>
        <w:tc>
          <w:tcPr>
            <w:tcW w:w="851" w:type="dxa"/>
            <w:vAlign w:val="center"/>
          </w:tcPr>
          <w:p w:rsidR="00157E12" w:rsidRPr="009A3A14" w:rsidRDefault="00157E1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 w:rsidRPr="009A3A14">
              <w:rPr>
                <w:b/>
                <w:color w:val="000000"/>
                <w:sz w:val="22"/>
                <w:szCs w:val="22"/>
              </w:rPr>
              <w:t>Ед.</w:t>
            </w:r>
          </w:p>
          <w:p w:rsidR="00157E12" w:rsidRPr="009A3A14" w:rsidRDefault="00157E1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9A3A14">
              <w:rPr>
                <w:b/>
                <w:color w:val="000000"/>
                <w:sz w:val="22"/>
                <w:szCs w:val="22"/>
              </w:rPr>
              <w:t>изм</w:t>
            </w:r>
            <w:proofErr w:type="spellEnd"/>
            <w:r w:rsidRPr="009A3A14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dxa"/>
            <w:vAlign w:val="center"/>
          </w:tcPr>
          <w:p w:rsidR="00157E12" w:rsidRPr="009A3A14" w:rsidRDefault="00157E1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 w:rsidRPr="009A3A14">
              <w:rPr>
                <w:b/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1134" w:type="dxa"/>
            <w:vAlign w:val="center"/>
          </w:tcPr>
          <w:p w:rsidR="00157E12" w:rsidRPr="009A3A14" w:rsidRDefault="00157E1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 w:rsidRPr="009A3A14">
              <w:rPr>
                <w:b/>
                <w:color w:val="000000"/>
                <w:sz w:val="22"/>
                <w:szCs w:val="22"/>
              </w:rPr>
              <w:t>Выделенная цена</w:t>
            </w:r>
          </w:p>
        </w:tc>
        <w:tc>
          <w:tcPr>
            <w:tcW w:w="1276" w:type="dxa"/>
            <w:vAlign w:val="center"/>
          </w:tcPr>
          <w:p w:rsidR="00157E12" w:rsidRPr="009A3A14" w:rsidRDefault="00157E1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  <w:lang w:val="en-US"/>
              </w:rPr>
            </w:pPr>
            <w:r w:rsidRPr="009A3A14">
              <w:rPr>
                <w:b/>
                <w:color w:val="000000"/>
                <w:sz w:val="22"/>
                <w:szCs w:val="22"/>
              </w:rPr>
              <w:t>Общая сумма, тенге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реагентoв Глюкоза Оксидазная R1: 1 x 125ml, STD: 1 x 5ml, для закрытого типа автоматического анализатора BioChem FC-200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Набор для количественного определения содержания глюкозы в сыворотке крови Оксидазным методом по конечной точке. Принцип метода Глюкозооксидаза (GOD) ускоряет окисление глюкозы в глюконовую кислоту. В присутствии пероксидазы (POD) образовавшаяся перекись водовода, 4- Аминофеназол (4-AP) и фенол образуют иминохинон (хинониминовый краситель, хромоген): β-D-Глюкоза + O2 + H2O® GOD D-глюконовая кислота + H2O2 H2O2 + Фенол+ 4-AP  ® POD Иминохинон + H2O  Концентрация иминохинона пропорциональна концентрации глюкозы в образце. Состав основного реагента:  ТРИС pH 7,4 - 92 ммоль/л. Фенол - 0,3 ммоль/л. Глюкозооксидаза (GOD) - 15000 Ед/л. Пероксидаза (POD) - 1000 Ед/л. 4 – Аминофеназол (4-AP) - 2,6 ммоль/л. Калибратор глюкозы: Раствор глюкозы (стандарт) 100 мг/дл. Длина волны: 500 нм. Длительность анализа: 15 минут. Диапазон измерения: от минимального значения 0,3709 мг/дл до предела линейности 500 мг/дл.  Линейность: 0,02-27,8 ммоль/л. Чуствительность: 1 мг/дл = 0,0039(A). Фасовка: R1: 1 x 125ml,  STD: 1 x 5ml.   Контроли и реагент должны быть одного производителя. Наличие сертифицированного инженера от завода производителя, на оборудование, для которого производится закуп.  </w:t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16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32 300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516800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Набор реагентов Общий Белок, R1 – 1x125ml, Стандарт – 1х5 для закрытого типа автоматического анализатора BioChem -FC200 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для количественного определения белка общего в сыворотке крови биуре</w:t>
            </w:r>
            <w:r w:rsidR="005F55BA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товым методом по конечной точке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Метод: Биуретовый, конечная точка. Принцип метода: Белок + Cu ++ → Окрашенный комплекс Белок сыворотки в щелочной среде при взаимодействии с ионами меди образует фиолетовый комплекс. Абсорбция образовавшегося комплекса прямо пропорциональна концентрации белка в исследуемом образце. Состав основного реагента:  Реагент общего белка:  Реагент общего белка: Гидроксид натрия (едкий натр) 600 ммоль, Сульфат меди 12 ммоль, Тартрат натрия/калия 32 ммоль, Иодид калия 30 ммоль, наполнители.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Стандарт общего белка: бычий альбумин 5 г/дл (50 г/л).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/>
              <w:t xml:space="preserve">Длина волны: 540 нм.  Длительность анализа: 5 минут. Концентрация общего белка в норме:  6,2 – 8,5 г/дл. (62-85 г/л) Линейность: 1-15,0 г/дл. (10-150 г/л). Фасовка: R1: 1 x 125ml, STD: 1 x 5ml. Контроли и реагент должны быть одного производителя. Наличие сертифицированного инженера от завода производителя, на оборудование, для которого производится закуп. </w:t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10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33 180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331800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801" w:type="dxa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реагентов Билирубин общий (для автоматов), R1 - 1*250ml, R2 - 1*25ml, Стандарт - 1*3ml  для закрытого типа автоматического анализатора BioChem FC-200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Набор предназначен для количественного определения общего билирубина в сыворотке крови человека методом DMSO (в модификации Walters и Gerarde) по конечной точке. Принцип метода Билирубин реагирует с диазотированной сульфаниловой кислотой с образованием азобилирубина, имеющего максимум поглощения при 560 нм в растворе диметилсульфоксида (ДМСО). Интенсивность окрашивания прямо пропорциональна концентрации общего билирубина, присутствующего в образце. Состав набора:  Реагент общего билирубина: сульфаниловая кислота – 32 мМоль, соляная кислота -165 мМоль, ДМСО – 7 Моль. Нитритный реагент билирубина: нитрит натрия – 60 мМоль. Калибратор билирубина: соль N-1 Нафтилэтилендиамин дигидрохлорид 5 мг/дл (85,5 мкмоль/л). Длина волны: 560 нм. Длительность анализа: 5 минут.  Концентрация общего билирубина в норме: 0,2-1,0 мг/дл. (3,42 – 17,1 мкмоль/л). Линейность: 0-342 мкмоль/л. Чувствительность: 0,01 мг/дл. (0,17 мкмоль/л). Фасовка: R1 - 1х250 мл. R2 - 1х25 мл. Стандарт – 1х 3мл. Контроли и реагент должны быть одного производителя. Наличие сертифицированного инженера от завода производителя, на оборудование, для которого производится закуп. </w:t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6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33 900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203400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реагентов АЛТ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 w:type="page"/>
              <w:t>(Аланинаминотрансфераза (SGPT)), R1 - 1*100ml, R2 - 1*20ml, для закрытого типа автоматического анализатора BioChem FC-200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 w:type="page"/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для количественного определения аланинаминотрансферазы (АЛТ) в сыворотке крови кинетическим методом. Принцип метода Аланинаминотрансфераза (АЛТ) или Глутаматпируваттрансаминаза (ГПТ) ускоряет перенос аминогруппы с аланина на кетоглутарат с образованием глутамата и пирувата. Полученный пируват восстанавливается до лактата Лактатдегидрогеназой (LDH) и одновременно окисляется NADH до NAD+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 w:type="page"/>
              <w:t>Состав набора:  R 1 Буфер : Трис pH 7,5 - 100 ммоль/л. Лактатдегидрогеназа (ЛДГ) - 1200 Ед/л. L-Аланин - 500 ммоль/л.  R 2 Субстрат: NADH - 0,18 ммоль/л. Кетоглутарат - 15 ммоль/л. Длина волны: 340 нм. Длительность анализа: 3 минуты. Референсные значения: Мужчины при 37ºC 40 Ед/л. Женщины при 37ºC 32 Ед/л. Линейность:  0,05-3,89 ммоль/л. Чувствительность: 1 Ед/л = 0,00052 A / мин. Диапазон измерений: от 0 Ед/л до  – до 400 Ед/л до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 w:type="page"/>
              <w:t>Фасовка: R1 - 1x100 мл. R2 - 1x20 мл. Контроли и реагент должны быть одного производителя.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 w:type="page"/>
              <w:t xml:space="preserve">Наличие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 xml:space="preserve">сертифицированного инженера от завода производителя, на оборудование, для которого производится закуп. 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 w:type="page"/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12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32 640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391680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реагентов АСТ (Аспартатаминотрансфераза (SGOT), R1 - 1*120ml, R2 - 1*30ml, для закрытого типа автоматического анализатора BioChem FC-200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 Набор для количественного определения аспартатаминотрансферазы (АСТ) в сыворотке крови ферментативным кинетическим методом. Принцип метода Аспартатаминотрансфераза (АСТ) или глутаматоксалоацетаттрансаминаза (ГОТ) ускоряет перенос аминогруппы с аспартата на a-кетоглутарат с образованием глутамата и Оксалацетата. Полученный оксалацетат восстанавливается NADH до малата в присутствии малатдегидрогеназы (MDH): L-Аспартат ® Кетоглутарат ® AST Глутамат + Оксалоацетат Оксалоацетат+ NADH + H + ® MDH Малат + NAD++Н2О Скорость снижения концентрации NADH, измеренная фотометрически, прямо пропорциональна активности АСТ, присутствующей в образце.  Состав набора:  R 1 Буфер : Трис pH 7,8 - 80 ммоль/л. Лактатдегидрогеназа (LDH) - 800 Ед/л. Малатдегидрогеназа (MDH) - 600 Ед/л. L-Аспартат - 200 ммоль/л. R 2 Субстрат: NADH - 0,18 ммоль/л. a-Кетоглутарат - 12 ммоль/л. Длина волны: 340 нм. Длительность анализа: 3 минуты. Референсные значения: Мужчины при 37ºC 38 Ед/л. Женщины при 37ºC 31 Ед/л. Линейность:  0-467 МЕ/л. Чувствительность: 1 Ед/л = 0,00053 DA/мин. Диапазон измерений: от 0 Ед/л до  – до 467 Ед/л. Фасовка: R1 - 1x120 мл. R2 - 1x30 мл. Контроли и реагент должны быть одного производителя. Наличие сертифицированного инженера от завода производителя, на оборудование, для которого производится закуп.  </w:t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12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45 720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548640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реагентов Креатинин, R1 - 1x125 ml, R2 – 1x125ml, Стандарт – 1х5 ml для закрытого типа автоматического анализатора BioChem FC-200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для количественного определения креатинина в сыворотке крови кинетическим методом Яффе. Метод: Яффе, кинетика.  Состав основных реагентов: 1. Реагент пикриновой кислоты: раствор, содержащий  17,5 ммоль/л пикриновой кислоты. 2. Буфер Натрия гидроксид: раствор, содержащий  0,29 моль/л. 3. Стандарт креатинина - 2 мг/дл. Длина волны: 510 нм. Длительность анализа: 1,5 минуты. Концентрация креатинина в норме.   Сыворотка и плазма: Мужчины 0,7 - 1,4 мг/дл 61,8 – 123,7 мкмоль/л. Женщины 0,6 - 1,1 мг/дл 53,0 – 97,2 мкмоль/л.  Моча: 15-25 мг/ кг/ 24 часа: Мужчины 10 - 20 мг/ кг/ 24 часа Женщины 8 – 18 мг/ кг/ 24 часа. Диапазон измерения: от минимального значения 0,000 мг/дл до предела линейности 35 мг/дл. Линейность: 0-3094 мкмоль/л. Чувствительность: 1 мг/дл = 0,0407 ΔAbs/мин. Стабильность креатинина: 7 дней при 2-8ºC. Фасовка: R1 - 1x125 мл, R2 - 1x125 мл. STD - 1х5 мл. Контроли и реагент должны быть одного производителя.  Наличие сертифицированного инженера от завода производителя, на оборудование, для которого производится закуп.</w:t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12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43 680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524160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Набор реагентoв Магний: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R1: 1 x 100ml, R2: 1 x 10ml, Стандарт: 1 x 5ml для закрытого типа автоматического анализатора BioChem FC-200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 xml:space="preserve">Набор для определения магния в сыворотке методом с кальмагитом по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конечной точке. Принцип метода Ионы магния реагируют с кальмагитом в щелочной среде, при этом формируется комплекс, имеющий красное окрашивание. Абсорбция измеряется при 530 нм и пропорциональна концентрации магния в исследуемом образце. Влияние кальция устраняется добавлением этиленгликольтетрауксусной кислоты. Цвет раствора пропорционален концентрации магния. Технические характеристики: Метод: Кальмагит, конечная точка. Состав набора: Буфер: 2-этиламинэтанол 6,0%; цианид калия 0,10%, EGTA 1,18 мМ.  Окрашивающий реагент:  Калмагит 0,006%; Стабилизатор 2,0%; сурфактант 0,03%. Стандарт магния:  2 мЭкв/л йодида магния. Длина волны: 520 нм. Длительность анализа: 5 минут. Концентрация магния в норме:  Взрослые 1,3 - 2,5 мЭкв/л. Линейность:   0-1,9996 ммоль/л. Фасовка: R1 - 1x100 мл. R2 - 1x10 мл. STD - 1х5 мл STD. Контроли и реагент должны быть одного производителя. Наличие сертифицированного инженера от завода производителя, на оборудование, для которого производится закуп.</w:t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24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32 820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787680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реагентов Азот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 w:type="page"/>
              <w:t>Мочевины R1 - 1x120 ml, R2 - 1x25 ml, Стандарт – 1х5 ml для закрытого типа автоматического анализатора BioChem FC-200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 w:type="page"/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для количественного определения мочевины в сыворотке крови и моче. Ферментативный (уреазный / глутаматдегидрогеназный ) кинетический метод. Принцип метода Мочевина в образце в кислой среде ферментативно гидролизуется на ионы аммония (NH4 +) и углекислый газ (CO2 ). Образовавшиеся ионы аммония взаимодействуют с a-кетоглутаратом в реакции, катализируемой глутаматдегидрогеназой (GLDH) с одновременным окислением NADH до NAD+. Состав набора: R 1 Буфер:  ТРИС pH 7.8 - 80 ммоль/л.  a-Кетоглутарат - 6 ммоль/л. Уреаза - 75000 Ед/л. R 2 Ферменты: GLDH - 60000 Ед/л. NADH - 0,32 ммоль/л. Калибратор мочевины: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 w:type="page"/>
              <w:t xml:space="preserve">Раствор мочевины (стандарт) 50 мг/дл.  Длина волны: 340 нм. Длительность анализа: 1.5 минут.  Линейность: не ниже 0,21-88 ммоль/л.  Референсные значения Сыворотка и плазма: 15-45 мг/дл @ 2,5-7,5 ммоль/л. Моча 20 – 25 г/24 ч. Стабильность рабочего раствора: 14 дней при 2-8°C и до конца срока годности неразведенного реагента  при 2-8°C. Фасовка: R1 - 1x120 мл. R2 - 1x25 мл.   STD – 1х5 мл. Контроли и реагент должны быть одного производителя. Наличие сертифицированного инженера от завода производителя, на оборудование, для которого производится закуп. 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 w:type="page"/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12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45 420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545040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Набор реагентов Фосфатаза Щелочная R1: 1 x 100ml, R2: 1 x 20ml  для закрытого типа автоматического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анализатора BioChem FC-200</w:t>
            </w:r>
          </w:p>
        </w:tc>
        <w:tc>
          <w:tcPr>
            <w:tcW w:w="7513" w:type="dxa"/>
            <w:vAlign w:val="bottom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Набор для количественного определения щелочной фосфатазы в сыворотке крови ферментативным кинетическим методом.  Принцип метода Кинетический фотометрический тест, по данным Международной Федерации Клинической Химии и Лабораторной Медицины (IFCC)7 . Щелочная фосфатаза (ЩФ) ускоряет перенос фосфата с п-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 xml:space="preserve">нитрофенилфосфата на 2-амино-2-метил-1- пропанол (AMP), образуя п –нитрофенол в соответствии со следующей реакции: п-нирофенилфосфат + AMP → п-нитрофенол + H3PO4 Скорость образования п-нитрофенола, измеренная фотометрически, пропорциональна ферментативной активности щелочной фосфатазы, что позволяет определить концентрацию. Состав основного реагента:  2-амино-2-метил-1-пропанол  0,35 моль/л.  Сульфат цинка  1 ммоль/л.  Ацетат магния  2 ммоль/л.  N-гидроксиэтилэтилендиаминотриуксусная кислота (EDTA)  2 ммоль/л.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/>
              <w:t>Состав субстрата: п-нитрофенилфосфат (pNPP)  10 ммоль/л. Длина волны: 405 нм.  Д</w:t>
            </w:r>
            <w:r w:rsidR="005F55BA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лительность анализа: 3 минуты. 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Концентрация в норме:  26 - 117 Ед/л при инкубации 3737ºС.  Линейность: 0-1400 Ед/л.  Стабильность:  Рабочий реагент стабилен в течение 14 дней при 2-8 ºС.  Фасовка: R1 - 1x100 мл.,  R2 - 1x 20 мл. Контроли и реагенты должны быть одного производителя. Наличие сертифицированного инженера от завода производителя, на оборудование, для которого производится закуп.</w:t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10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33 840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338400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реагентoв Хлор R 1 – 1x125 ml, Стандарт 1х5 мл  для закрытого типа автоматического анализатора BioChem FC-200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Для количественного определения хлоридов в сыворотке крови человека метод с Тиоцианатом ртути по конечной точке. Принцип метода Hg(SCN)2 + 2Cl- HgCl2 + 2SCN- 3SCN- + Fe+3 Fe(SCN)3 (красное окрашивание) Ионы хлора замещают тиоционат из неионизированного тиоционата ртути, при этом образуются хлориды ртути и ионы тиоционата. Образовавшиеся ионы тиоционата реагируют с ионами железа с формированием окрашенного комплекса, абсорбция измеряется при 480 нм. Интенсивность окрашивания прямо пропорциональна концентрации хлоридов в исследуемой сыворотке крови. Состав реагента: Реагент хлора (активные ингридиенты): Нитрат ртути 0,058 ммоль/л Тиоционат ртути 1,75 ммоль/л Хлорид ртути 0,74 ммоль/л Нитрат железа 22,3 ммоль/л M Прочие неактивные компоненты в разбавленной кислоте с добавлением метанола.  Калибратор хлора: Хлорид натрия 100 ммоль/л. Длина волны: 480 нм. Длительность анализа: 5 минут. Концентрация хлор</w:t>
            </w:r>
            <w:r w:rsidR="005F55BA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идов в норме:  98 - 106 мМоль/л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Линейность: 70 - 140 мМоль/л (2-40 ммоль/л). Чувствительность: описанная здесть процедура имеет чувствительность 0,28 ммоль/л при условии, что разрешение анализатора составляет 0,001 ед. абсорбции.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/>
              <w:t>Фасовка: R1: 1 x 125ml,  STD: 1 x 5ml . Контроли и реагент до</w:t>
            </w:r>
            <w:r w:rsidR="005F55BA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лжны быть одного производителя.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Наличие сертифицированного инженера от завода производителя, на оборудование, для которого производится закуп.</w:t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1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45 480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45480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Набор реагентов Альбумин, R1 – 1x125 ml, Стандарт – 1х5ml для закрытого типа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автоматического анализатора BioChem FC-200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 xml:space="preserve"> Набор для количественного определения альбумина в сыворотке крови методом по конечной точке c бромкрезоловым зеленым. Метод: Бромкрезоловый зеленый, конечная точка. Принцип метода Альбумин избирательно связывается с бромкрезоловым зеленым при рН=4,2.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Увеличение значения абсорбции образующегося комплекса альбумин-краситель при 630 нм прямо пропорционально концентрации альбумина.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 w:type="page"/>
              <w:t>Состав основного реагента: 1. Бром крезоловый зеленый (BCG) - 0,25 мМ буфер, рН 4,0+0,1; сурфактант, инертные ингредиенты и стабилизаторы. 2. Стандарт: Бычий сывороточный альбумин Фракция V со стабилизатором (5 г/дл).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 w:type="page"/>
              <w:t>Длина волны: не уже 580 - 630 нм. Длительность анализа: 5 минут. Стабильность: реагент при комнатной температуре до конца срока годности, стандарт при температуре 2-8 °С. Концентрация альбумина в норме: 35 – 53 г/л. Линейность: 0,5 - 8,0 г/дл. Чувствительность: 0,05 г/л. Фасовка: R1 -1x125 мл.,</w:t>
            </w:r>
            <w:r w:rsidR="002245AC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STD- 1х5 мл. Контроли и реагент должны быть одного производителя. Наличие сертифицированного инженера от завода производителя, на оборудование, для которого производится закуп.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 w:type="page"/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10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33 480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334800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реагентов Холестерин R1 – 1x125 мл, Стандарт 1х5 мл для закрытого типа автоматического анализатора BioChem FC-200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для количественного определения холестерина в сыворотке крови мет</w:t>
            </w:r>
            <w:r w:rsidR="002245AC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одом Триндера по конечной точке.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Принцип метода Ферментативный метод определения концентрации холестерина основан на следующих реакциях: Х. эстераза Эфир холестерина → Холестерин + Жирные к-ты Х. оксидаза Холестерин + О2 → Холестен-3-он + H2O2 пероксидаза 2H2O2 + 4-аминоантипирин + р-HBS →инонимин + 2 H2O (красный краситель) Эфиры холестерина подвергаются гидролизу с образованием холестерина. В результате окисления холестерина под действием оксидазы холестерина формируется пероксид водорода. В сопряженной реакции под действием пероксидазы из 4-аминоантипирин, p-HBS и пероксида водорода формируется хинониминовый краситель, имеющий красную окраску. Раствор данного красителя имеет поглощение при 520 нм, оно пропорционально концентрации холестерина в пробе. Реагент холестерина (жидкий) имеет следующий состав:  1. Холестериновый реагент: 4-аминоантипирин – 0,6 мМ, холат натрия – 8,0 мМ, эстераза холестерина ≥ 150 МЕ/л, оксидаза холестерина ≥ 150 МЕ/л, пероксидаза хрена≥ 1,200 МЕ/л, п-гидроксибензолсульфонат – 20 мМ, буфер – 125 мМ,рН 6,8, инертные реактивы.  2. Стандарт холестерина (жидкий): 200 мг/дл (5,18 мМ/л). Данный стандарт изготовлен из материалов Standard Reference Material, изготовленных в соответствии с рекомендациями Национального Ин</w:t>
            </w:r>
            <w:r w:rsidR="002245AC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ститута Стандарта и Технологии.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Длина волны: 505 нм. Длительность анализа: 12 минут. Концентрация холестерина в норме: &lt; 200 мг/дл (5,18 </w:t>
            </w:r>
            <w:r w:rsidR="002245AC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мМ/л)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Линейность:  0-25,88 ммоль/л. Фасовка: R1: 1x125ml, STD: 1 x 5ml. Контроли и реагент должны быть одного производителя. Наличие сертифицированного инженера от завода производителя, на оборудование, для которого производится закуп.  </w:t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2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36 840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73680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13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реагентов Амилаза, R1 – 1x125 ml для закрытого типа автоматического анализатора BioChem FC-200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для количественного определения Амилазы в сыворотке крови ферментативным кинетическим методом (CNPG3). Принцип метода a-Амилаза гидролизует 2-хлор-4-нитрофенил-a-D-мальтотриозид (CNPG3) с высвобождением 2-хлор-4-нитрофенола (CNP) и образованием 2-хлор-4-нитрофенил-a-D-мальтозида (CNPG2), мальтотриозы (G3) и глюкозы(G) в соответствии со следующей реакцией: 10 CNPG3 9 CNP + 1 CNPG2 + G3 + G Скорость образования 2-хлор-4-нитрофенола измеренная фотометрически, пропорциональна концентрации a-амилазы, присутствующей в образце. Состав основного реагента:  Буфер MES (pH 6,0) - 100 ммоль/л. CNPG3 - 2,25 ммоль/л. Хлорид натрия - 350 ммоль/л. Ацетат кальция - 6 ммоль/л. Тиоционат калия - 900 ммоль/л. Азид натрия - 0,95 г/л. Референсные значения Сыворотка и плазма до 90 Ед/л a-амилазы Моча до 450 Ед/л a-амилазы. Длина волны: 405 нм. Чувствительность: 1 Ед/л= 0,00025 aA / мин. Длительность анализа: 3 минуты. Стабильность: реагент при комнатной температуре, стандарт при температуре 2-8 °С. Концентрация ал</w:t>
            </w:r>
            <w:r w:rsidR="009E784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ьбумина в норме: 3,5 - 5,3 г/дл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Линейность: 0,5 - 8,0 г/дл. Фасовка: 1x125 мл R1. Контроли и реагент дол</w:t>
            </w:r>
            <w:r w:rsidR="009E784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жны быть одного производителя. 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Наличие сертифицированного инженера от завода производителя, на оборудование, для которого производится закуп.</w:t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8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137 760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1102080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реагентoв Триглицериды R 1 – 1x125 ml, Стандарт 1х5 мл для закрытого типа автоматического анализатора BioChem FC-200</w:t>
            </w:r>
          </w:p>
        </w:tc>
        <w:tc>
          <w:tcPr>
            <w:tcW w:w="7513" w:type="dxa"/>
            <w:vAlign w:val="bottom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Набор для количественного определения триглицеридов в сыворотке и плазме крови методом энзиматического гидролиза по конечной точке. Принцип метода Определение концентрации триглицеридов основан о на следующих ферментативных реакциях: Липаза Триглицериды → Глицерин+ Жирные кислоты Глицеринкиназа Глицерин + ATP → Глицерин-1-фосфат + ADP GPO Глицерин-1-фосфат + O2 → DAP + H2O2 Пероксидаза H2O2 + 4-AA + DHBS → Хинониминовый краситель + 2H2O В данном методе гидролиз триглицеридов катализирует липазой. Затем определяют концентрацию глицерина ферментативным анализом в сочетании с реакцией Триндера, которая заканчивается образованием хинониминового красителя. Количество образовавшегося красителя, определяемое по его поглощению при 520 нм, прямопропорционально концентрации триглицеридов в образцах.  1. Жидкий реагент содержит следующие компоненты: АТР – 0,5 ммоль/л, ацетат магния – 12 ммоль/л, 4- хлорфенол – 3,5 ммоль/л, 4-аминофеназон – 0,3 ммоль/л, глицеринфосфат оксидаза &gt; 4500 Ед/л, липаза &gt; 200000 Ед/л, глицеринкиназа &gt; 250 Ед/л, пероксидаза &gt; 2000 Ед/ л, буфер (рН 7,4) 50 ммоль/л, сурфактанты, стабилизаторы и консерванты. 2. Стандарт содержит глицерин с сурфактантом для получения 200 мг/дл триглицеридов в виде триолеина. Добавлен азид натрия 0,1% в качестве консерванта. Длина волны: 520 нм.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 xml:space="preserve">Длительность анализа: 9 минут.  Концентрация триглицеридов в норме:  36 -165 мг/дл  Линейность: 1200 мг/дл. Чувствительность: Учитывая разрешающую способность прибора A = 0.001, данный метод имеет чувствительность 1.3 мг/дл. Фасовка: R1: 1 x 125ml,  STD: 1 x 5ml. Контроли и реагент должны быть одного производителя. Наличие сертифицированного инженера от завода производителя, на оборудование, для которого производится закуп. 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 w:type="page"/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2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52 800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105600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реагентов Мочевая кислота R1: 1 x 125ml, Стандарт: 1 x 5ml  для закрытого типа автоматического анализатора BioChem FC-200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для определения мочевой кислоты в сыворотке крови уриказным методом Триндера по конечной точке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/>
              <w:t xml:space="preserve">Принцип метода Ферментативная последовательность реакций, используемых в определении мочевой кислоты, следующая: Уриказа Мочевая кислота + O2 + 2H2O → Аллантоин + CO2 + H2O2 Пероксидаза 2H2O2 + 4-ААП + ДХГБС → Хромоген + 4H2O Мочевая кислота окисляется уриказой до аллантоина и перекиси водорода. В присутствии пероксидазы перекись водорода инициирует присоединение 4-ААП (4-аминоантипирин)к ДХГБС (3,5-дихлор-2-гидроксибензолсульфоновая кислота) с образованием хромогена, абсорбция которого измеряется при 520 нм. Эта абсорбция прямо пропорциональна количеству перекиси водорода, образующейся из мочевой кислоты.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/>
              <w:t>Состав основного реагента:  4-ААП 4 ммоль, ДХГБС 2 ммоль, буфер рН 7,5, стабилизаторы, сурфактанты.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/>
              <w:t xml:space="preserve">Стандарт мочевой кислоты (5 мг/дл, 0,30 мМ/л). Длина волны: 520 нм. Длительность анализа: 13 минут. Концентрация мочевой кислоты в норме: 2,5 - 7,7 мг/дл. Линейность:  0-25 мг/дл (0 - 1,49 мМ/л). Концентрация у практически здоровых лиц Мочевая кислота: 1,5 – 7,0 мг/дл (0,09 - 0,42 мМ/л). Фасовка:  R1 - x125 мл реагент,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/>
              <w:t>STD - 1х5 мл. Контроли и реагент должны быть одного производителя. Наличие сертифицированного инженера от завода производителя, на оборудование, для которого производится закуп.</w:t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6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45 900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275400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реагентoв Гамма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/>
              <w:t>-глутамилтрансфераза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/>
              <w:t>(ГГТ) R1 - 1x100 ml, R2 - 1x20 ml для закрытого типа автоматического анализатора BioChem FC-200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Метод: Колориметрический кинетический метод в соответствии с методом Szasz. Состав набора: γ-GT Buffer (R1):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/>
              <w:t xml:space="preserve">Tрис-буфер, pH 8.6 100 ммоль/л. Глицилглицин 100 ммоль/л. γ-GT Субстрат (R2): L-γ-глутамил-3-карбокси-4-нитроанилид – 3.0 ммоль/л. Длина волны: 405 нм. Длительность анализа: 6 минут. Линейность: не уже 2- 300 Ед/л при 37°C. Чувствительность: не более 1 Ед/л. Концентрация ГГТ в норме:  Мужчины: 0 - 50 Ед/л (37°C);  Женщины: 0 - 30 Ед/л (37°C). Стабильность рабочего раствора: 4 недели при 2-8°C и 5 дней при комнатной температуре (15-25°C). Фасовка: 1x100 мл реагент R1, 1x20 мл реагент R2. Контроли и реагент должны быть одного производителя.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Наличие сертифицированного инженера от завода производителя, на оборудование, для которого производится закуп.</w:t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8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45 480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363840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реагентoв Железо: R1: 1 x 100ml, R2: 1 x 10ml, Стандарт: 1 x 5ml для закрытого типа автоматического анализатора BioChem FC- 200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Для количественного определения концентрации общего железа в сыворотке крови методом с феррозином по конечной точке. Принцип метода При добавлении кислотного буфера содержащего гидроксиламин железо сыворотки высвобождается из Fe3+ - трансферринового комлекса. Fe 3+ восстанавливается до Fe2+. Ионы железа реагируют с окрашивающим агентом (ферен), что приводит к образованию ярко окрашенного комплекса. Абсорбция измеряется фотометрически на длине волны 560 нм. Изменение абсорбции прямо пропорционально концентрации железа в образце и используется при подсчете. Кислый буфер Fe3+ – Железо переносящий бел. → Fe3+ + Трансферрин Fe3+ + Гидроксиламин + Тиогликолят → Fe2+ Fe2+ + Феррозин → Fe2+ (Феррозин) Пурпурно красный конъюгат. Состав реагентов Феррозин: 0,5 ммоль/л Уксусная кислота: 0,5 ммоль/л Гидроксиламина гидрохлорид: 0,3 ммоль/л Натрия тиогликолят: 25,0 ммоль/л Неактивные добавки и консерванты. Стандарт железа (500 мкг/дл (89,5 мкмоль/л)): 500 мкг хлорида железа в гидроксиламингидрохлориде. Длина волны: 560 нм. Длительность анализа: 10 минут. Диапазон измерений: 5-500 мкг/дл (0,9 – 89,5 мкмоль/л. Линейность: 5 – 500. Концентрация в норме у человека: Новорожденные: 100-250 мкг/дл (17,9-44,8 мкмоль/л) Младенцы 40-100 мкг/дл (7,2-17,9 мкмоль/л) Дети: 50-120 мкг/дл (7,5-21,5 мкмоль/л) Мужчины: 50-160 мкг/дл (7,5 – 28,6 мкмоль/л) Женщины: 40-150 мкг/дл (7,2 – 26,9 мкмоль/л. Фасовка: R1: 1 x 100 мл, R2: 1 x 10 мл, STD: 1 x 5ml. Контроли и реагент должны быть одного производителя. Наличие сертифицированного инженера от завода производителя, на оборудование, для которого производится закуп.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 w:type="page"/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2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48 720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97440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биохимический контроль уровеь1: 1 x 5ml, уровень 2: 1 x 5ml  для закрытого типа автоматического анализатора BioChem FC-200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Химические контроли используется в клинической химии для контроля полученных данных и точности проведения анализов. Набор содержит широкий диапазон электролитов, ферментов и метаболитов, исследуемых в клинической диагностике. В упаковке содержится два уровня контролей. Контрольная сыворотка приготовлена на основе человеческой сыворотки с добавками очищенных биохимических компонентов (экстракты тканей человека и животных), химических соединений, лекарственных средств, консервантов и стабилизаторов. Контроль находится в лиофизированной форме для увеличения стабильности. Составные компоненты приведены к уровням, указанным в таблице ожидаемых значений. Определяемые параметры:  альбумин, общий/прямой билирубин, азот мочевины, мочевина, кальций, кальций Арсеназо,  углекислый газ, хлор, холестерин,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креатинин, креатинкиназа, глюкоза Гексокиназняа/ Оксидазная, железо, ОЖСС, магний, фосфор, калий, натрий, общий белок, триглицериды GPO, мочевая кислота, щелочная фосфатаза, кислая фосфатаза, АЛТ, АСТ, амилаза, гаммаглутамилтранфераза, лактатдегидрогеназа, липаза, лактат. Состав: человеческая сыворотка с добавлением биохимических компонентов (экстракты тканей человека и животных), химических соединений, лекарственных средств, консервантов и стабилизаторов. Разведение: дистиллированная/деионизированная вода. Стабильност</w:t>
            </w:r>
            <w:r w:rsidR="009E784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ь готового раствора: 7 суток за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исключением щелочной фосфатазы и билирубина 48 часов) при температуре 2-8 °С. Фасовка: Уровень 1 - 1x5мл.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/>
              <w:t>Уровень 2 - 1х5мл. Контроли и реагент должны быть одного производителя. Наличие сертифицированного инженера от завода производителя, на оборудование, для которого производится закуп.</w:t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24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43 440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1042560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Промывочный раствор №2 (концентрат) объемом 500 мл для закрытого типа автоматического анализатора BioChem FC -200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Применение: для промывки иглы дозатора автоматического биохимического анализатора и более тщательной промывки кювет. Разведение:  на 40 мл деонизированной воды добавить 10 мл концентрата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/>
              <w:t>Состав: 1,05 N раствор NaOH. Наличие сертифицированного инженера от завода производителя, на оборудование, для которого производится закуп.</w:t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шт.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78 180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312720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Пробирки для образцов 13 мм для закрытого типа автоматического биохимического анализатора BioChem FC-200 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Пробирки для образцов 13мм для автоматического биохимического анализатора BioChem FC-200 (упаковка 100 штук). Материал изготовления: Пластик. Количество штук в упаковке: 100. Срок годности: Не ограничен.</w:t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уп.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2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30 480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60960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Реакционные кюветы для закрытого типа автоматического биохимического анализатора BioChem FC-200 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Емкость для постановки биохимической реакции и проведения последующих измерений в ней. Совместимость: Полная совместимость с анализатором автоматическим биохимическим BioChem FC-200 закрытого типа. Материал изготовления: Специальный пластик ограниченного срока использования.  Состав стрипа: Сегмент, содержащий 9 одноразовых кювет. Вид стрипа: Кюветы, соединенные при помощи пластин. Сегмент: Имеет 2 прижимные клипсы для крепления на ротор по центру сегмента, выполнен из прозрачного пластика. Размеры сегмента (ДхВхШ): 92х30х25 мм. Размеры кювет: Имеют форму усеченной призмы. Внешние размеры на уровне фотометра (ВхШхД):  30 мм х 6мм х 6 мм. Внутренние размеры на уровне фотометра (ВхШхД):  29 мм  х 5 мм х 5 мм. Толщина стенки 1 мм. Общий объем кюветы: 700 мкл. Кюветы одноразового использования: наличие. Срок службы кювет: Одно измерение. Вес стрипа: 7,14 г. Количество штук в упаковке: 160 стрипов по 9 кювет (1440 шт.). Фасовка: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160 стрипов. Карточка для активации кювет, карточка для активации реагентов, Тест на точность 2*1мл.  Наличие сертифицированного инженера от завода производителя, на оборудование, для которого производится закуп.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 w:type="page"/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lastRenderedPageBreak/>
              <w:t>уп.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12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205 000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2460000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22</w:t>
            </w:r>
          </w:p>
        </w:tc>
        <w:tc>
          <w:tcPr>
            <w:tcW w:w="280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 реагентов биохимический мультикалибратор 1 x 5 мл. для закрытого типа автоматического анализатора BioChem FC-200</w:t>
            </w:r>
          </w:p>
        </w:tc>
        <w:tc>
          <w:tcPr>
            <w:tcW w:w="7513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Химический мультикалибратор предназначен для калибровки клинических биохимических тестов HTI.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/>
              <w:t>Мультикалибратор HTI представляет собой лиофилизированную человеческую сыворотку. Концентрации компоентов калибратора были установлены для обеспечения оптимальной калибровки биохимических тестов HTI на указанных анализаторах. Определяемые параметры: Альбумин, Общий Билирубин, Прямой Билирубин, Азот мочевины, Кальций, CO2, Хлор, Холестерин, Креатинин, Глюкоза Гекс/ Окс, Железо, Магний, Фосфор, Калий, Натрий, Общий Белок, Триглицериды, Мочевая Кислота. Состав: лиофилизированная сыворотка человека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br/>
              <w:t xml:space="preserve">Разведение: деионизированная вода. Стабильность готового раствора:  разбавленный биохимический калибратор стабилен в течение 5 дней при температуре 2-8 °С (за исключением билирубина - </w:t>
            </w:r>
            <w:r w:rsidR="009E7844">
              <w:rPr>
                <w:rFonts w:ascii="Times New Roman" w:eastAsia="Times New Roman" w:hAnsi="Times New Roman" w:cs="Times New Roman"/>
                <w:spacing w:val="2"/>
                <w:lang w:val="kk-KZ"/>
              </w:rPr>
              <w:t xml:space="preserve">4 суток). Фасовка: R1 - 1x5мл.  </w:t>
            </w: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Контроли и реагент должны быть одного производителя. Наличие сертифицированного инженера от завода производителя, на оборудование, для которого производится закуп.</w:t>
            </w:r>
          </w:p>
        </w:tc>
        <w:tc>
          <w:tcPr>
            <w:tcW w:w="851" w:type="dxa"/>
            <w:vAlign w:val="center"/>
          </w:tcPr>
          <w:p w:rsidR="009A6E84" w:rsidRPr="009A6E84" w:rsidRDefault="009A6E84">
            <w:pPr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набор</w:t>
            </w:r>
          </w:p>
        </w:tc>
        <w:tc>
          <w:tcPr>
            <w:tcW w:w="710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12</w:t>
            </w:r>
          </w:p>
        </w:tc>
        <w:tc>
          <w:tcPr>
            <w:tcW w:w="1134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41 460</w:t>
            </w:r>
          </w:p>
        </w:tc>
        <w:tc>
          <w:tcPr>
            <w:tcW w:w="1276" w:type="dxa"/>
            <w:vAlign w:val="center"/>
          </w:tcPr>
          <w:p w:rsidR="009A6E84" w:rsidRPr="009A6E84" w:rsidRDefault="009A6E84">
            <w:pPr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r w:rsidRPr="009A6E84">
              <w:rPr>
                <w:rFonts w:ascii="Times New Roman" w:eastAsia="Times New Roman" w:hAnsi="Times New Roman" w:cs="Times New Roman"/>
                <w:spacing w:val="2"/>
                <w:lang w:val="kk-KZ"/>
              </w:rPr>
              <w:t>497520</w:t>
            </w:r>
          </w:p>
        </w:tc>
      </w:tr>
      <w:tr w:rsidR="009A6E84" w:rsidRPr="009A3A14" w:rsidTr="00A7186B">
        <w:tc>
          <w:tcPr>
            <w:tcW w:w="709" w:type="dxa"/>
            <w:vAlign w:val="center"/>
          </w:tcPr>
          <w:p w:rsidR="009A6E84" w:rsidRPr="009A3A14" w:rsidRDefault="009A6E8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center"/>
          </w:tcPr>
          <w:p w:rsidR="009A6E84" w:rsidRPr="009A3A14" w:rsidRDefault="009A6E84">
            <w:pPr>
              <w:rPr>
                <w:rFonts w:ascii="Times New Roman" w:eastAsia="Times New Roman" w:hAnsi="Times New Roman" w:cs="Times New Roman"/>
                <w:b/>
              </w:rPr>
            </w:pPr>
            <w:r w:rsidRPr="009A3A14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7513" w:type="dxa"/>
          </w:tcPr>
          <w:p w:rsidR="009A6E84" w:rsidRDefault="009A6E84"/>
        </w:tc>
        <w:tc>
          <w:tcPr>
            <w:tcW w:w="851" w:type="dxa"/>
            <w:vAlign w:val="center"/>
          </w:tcPr>
          <w:p w:rsidR="009A6E84" w:rsidRDefault="009A6E84"/>
        </w:tc>
        <w:tc>
          <w:tcPr>
            <w:tcW w:w="710" w:type="dxa"/>
            <w:vAlign w:val="center"/>
          </w:tcPr>
          <w:p w:rsidR="009A6E84" w:rsidRDefault="009A6E8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6E84" w:rsidRPr="009A3A14" w:rsidRDefault="009A6E84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10959680</w:t>
            </w:r>
          </w:p>
        </w:tc>
        <w:tc>
          <w:tcPr>
            <w:tcW w:w="1276" w:type="dxa"/>
            <w:vAlign w:val="center"/>
          </w:tcPr>
          <w:p w:rsidR="009A6E84" w:rsidRDefault="009A6E84">
            <w:pPr>
              <w:jc w:val="center"/>
            </w:pPr>
          </w:p>
        </w:tc>
      </w:tr>
    </w:tbl>
    <w:p w:rsidR="00E30A59" w:rsidRPr="009A3A14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  <w:sz w:val="22"/>
          <w:szCs w:val="22"/>
        </w:rPr>
      </w:pPr>
    </w:p>
    <w:p w:rsidR="00056DEC" w:rsidRPr="009A3A1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2"/>
          <w:szCs w:val="22"/>
        </w:rPr>
      </w:pPr>
      <w:r w:rsidRPr="009A3A14">
        <w:rPr>
          <w:b/>
          <w:color w:val="000000"/>
          <w:sz w:val="22"/>
          <w:szCs w:val="22"/>
        </w:rPr>
        <w:t xml:space="preserve">Место поставки или оказания фармацевтической услуги: </w:t>
      </w:r>
      <w:r w:rsidR="007B3774" w:rsidRPr="009A3A14">
        <w:rPr>
          <w:color w:val="000000"/>
          <w:sz w:val="22"/>
          <w:szCs w:val="22"/>
        </w:rPr>
        <w:t>СКО, г.</w:t>
      </w:r>
      <w:r w:rsidR="0067360F" w:rsidRPr="009A3A14">
        <w:rPr>
          <w:color w:val="000000"/>
          <w:sz w:val="22"/>
          <w:szCs w:val="22"/>
        </w:rPr>
        <w:t xml:space="preserve"> </w:t>
      </w:r>
      <w:r w:rsidR="007B3774" w:rsidRPr="009A3A14">
        <w:rPr>
          <w:color w:val="000000"/>
          <w:sz w:val="22"/>
          <w:szCs w:val="22"/>
        </w:rPr>
        <w:t>Петропавловск, ул. 4-я Линия, 2.</w:t>
      </w:r>
    </w:p>
    <w:p w:rsidR="00056DEC" w:rsidRPr="009A3A1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  <w:sz w:val="22"/>
          <w:szCs w:val="22"/>
        </w:rPr>
      </w:pPr>
      <w:r w:rsidRPr="009A3A14">
        <w:rPr>
          <w:b/>
          <w:color w:val="000000"/>
          <w:sz w:val="22"/>
          <w:szCs w:val="22"/>
        </w:rPr>
        <w:t xml:space="preserve">Сроки поставки или оказания фармацевтической услуги: </w:t>
      </w:r>
      <w:r w:rsidR="00CB4FA7" w:rsidRPr="009A3A14">
        <w:rPr>
          <w:spacing w:val="2"/>
          <w:sz w:val="22"/>
          <w:szCs w:val="22"/>
          <w:lang w:val="kk-KZ"/>
        </w:rPr>
        <w:t>В течение 15 календарных дней после заявки Зак</w:t>
      </w:r>
      <w:r w:rsidR="0044404B" w:rsidRPr="009A3A14">
        <w:rPr>
          <w:spacing w:val="2"/>
          <w:sz w:val="22"/>
          <w:szCs w:val="22"/>
          <w:lang w:val="kk-KZ"/>
        </w:rPr>
        <w:t>аз</w:t>
      </w:r>
      <w:r w:rsidR="00CB4FA7" w:rsidRPr="009A3A14">
        <w:rPr>
          <w:spacing w:val="2"/>
          <w:sz w:val="22"/>
          <w:szCs w:val="22"/>
          <w:lang w:val="kk-KZ"/>
        </w:rPr>
        <w:t>чика</w:t>
      </w:r>
      <w:r w:rsidR="00185861" w:rsidRPr="009A3A14">
        <w:rPr>
          <w:spacing w:val="2"/>
          <w:sz w:val="22"/>
          <w:szCs w:val="22"/>
          <w:lang w:val="kk-KZ"/>
        </w:rPr>
        <w:t>.</w:t>
      </w:r>
      <w:r w:rsidR="00E03FC5" w:rsidRPr="009A3A14">
        <w:rPr>
          <w:spacing w:val="2"/>
          <w:sz w:val="22"/>
          <w:szCs w:val="22"/>
          <w:lang w:val="kk-KZ"/>
        </w:rPr>
        <w:t xml:space="preserve"> </w:t>
      </w:r>
    </w:p>
    <w:p w:rsidR="00E30A59" w:rsidRPr="009A3A14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2"/>
          <w:szCs w:val="22"/>
        </w:rPr>
      </w:pPr>
      <w:r w:rsidRPr="009A3A14">
        <w:rPr>
          <w:b/>
          <w:color w:val="000000"/>
          <w:sz w:val="22"/>
          <w:szCs w:val="22"/>
        </w:rPr>
        <w:t>Время</w:t>
      </w:r>
      <w:r w:rsidR="00F410A1" w:rsidRPr="009A3A14">
        <w:rPr>
          <w:b/>
          <w:color w:val="000000"/>
          <w:sz w:val="22"/>
          <w:szCs w:val="22"/>
        </w:rPr>
        <w:t xml:space="preserve"> начала</w:t>
      </w:r>
      <w:r w:rsidRPr="009A3A14">
        <w:rPr>
          <w:b/>
          <w:color w:val="000000"/>
          <w:sz w:val="22"/>
          <w:szCs w:val="22"/>
        </w:rPr>
        <w:t xml:space="preserve">:  </w:t>
      </w:r>
      <w:r w:rsidR="0069196E" w:rsidRPr="0069196E">
        <w:rPr>
          <w:color w:val="000000"/>
          <w:sz w:val="22"/>
          <w:szCs w:val="22"/>
        </w:rPr>
        <w:t>2</w:t>
      </w:r>
      <w:r w:rsidR="00FD3E67">
        <w:rPr>
          <w:color w:val="000000"/>
          <w:sz w:val="22"/>
          <w:szCs w:val="22"/>
        </w:rPr>
        <w:t>5</w:t>
      </w:r>
      <w:r w:rsidR="00B53CB5" w:rsidRPr="009A3A14">
        <w:rPr>
          <w:color w:val="000000"/>
          <w:sz w:val="22"/>
          <w:szCs w:val="22"/>
        </w:rPr>
        <w:t>.</w:t>
      </w:r>
      <w:r w:rsidR="0069196E">
        <w:rPr>
          <w:color w:val="000000"/>
          <w:sz w:val="22"/>
          <w:szCs w:val="22"/>
        </w:rPr>
        <w:t>12</w:t>
      </w:r>
      <w:r w:rsidR="00B53CB5" w:rsidRPr="009A3A14">
        <w:rPr>
          <w:color w:val="000000"/>
          <w:sz w:val="22"/>
          <w:szCs w:val="22"/>
        </w:rPr>
        <w:t>.202</w:t>
      </w:r>
      <w:r w:rsidR="0048491C" w:rsidRPr="009A3A14">
        <w:rPr>
          <w:color w:val="000000"/>
          <w:sz w:val="22"/>
          <w:szCs w:val="22"/>
        </w:rPr>
        <w:t>4</w:t>
      </w:r>
      <w:r w:rsidR="00B53CB5" w:rsidRPr="009A3A14">
        <w:rPr>
          <w:color w:val="000000"/>
          <w:sz w:val="22"/>
          <w:szCs w:val="22"/>
        </w:rPr>
        <w:t xml:space="preserve"> г.</w:t>
      </w:r>
      <w:r w:rsidRPr="009A3A14">
        <w:rPr>
          <w:color w:val="000000"/>
          <w:sz w:val="22"/>
          <w:szCs w:val="22"/>
        </w:rPr>
        <w:t xml:space="preserve">  </w:t>
      </w:r>
    </w:p>
    <w:p w:rsidR="00056DEC" w:rsidRPr="009A3A14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2"/>
          <w:szCs w:val="22"/>
        </w:rPr>
      </w:pPr>
      <w:r w:rsidRPr="009A3A14">
        <w:rPr>
          <w:b/>
          <w:color w:val="000000"/>
          <w:sz w:val="22"/>
          <w:szCs w:val="22"/>
        </w:rPr>
        <w:t xml:space="preserve">Время </w:t>
      </w:r>
      <w:r w:rsidR="00056DEC" w:rsidRPr="009A3A14">
        <w:rPr>
          <w:b/>
          <w:color w:val="000000"/>
          <w:sz w:val="22"/>
          <w:szCs w:val="22"/>
        </w:rPr>
        <w:t>окончания приема заявок:</w:t>
      </w:r>
      <w:r w:rsidR="00B53CB5" w:rsidRPr="009A3A14">
        <w:rPr>
          <w:b/>
          <w:color w:val="000000"/>
          <w:sz w:val="22"/>
          <w:szCs w:val="22"/>
        </w:rPr>
        <w:t xml:space="preserve"> </w:t>
      </w:r>
      <w:r w:rsidR="008835D6" w:rsidRPr="008835D6">
        <w:rPr>
          <w:color w:val="000000"/>
          <w:sz w:val="22"/>
          <w:szCs w:val="22"/>
        </w:rPr>
        <w:t>1</w:t>
      </w:r>
      <w:r w:rsidR="002B303D">
        <w:rPr>
          <w:color w:val="000000"/>
          <w:sz w:val="22"/>
          <w:szCs w:val="22"/>
        </w:rPr>
        <w:t>4</w:t>
      </w:r>
      <w:r w:rsidR="00B53CB5" w:rsidRPr="009A3A14">
        <w:rPr>
          <w:color w:val="000000"/>
          <w:sz w:val="22"/>
          <w:szCs w:val="22"/>
        </w:rPr>
        <w:t>.</w:t>
      </w:r>
      <w:r w:rsidR="0048491C" w:rsidRPr="009A3A14">
        <w:rPr>
          <w:color w:val="000000"/>
          <w:sz w:val="22"/>
          <w:szCs w:val="22"/>
        </w:rPr>
        <w:t>0</w:t>
      </w:r>
      <w:r w:rsidR="008835D6">
        <w:rPr>
          <w:color w:val="000000"/>
          <w:sz w:val="22"/>
          <w:szCs w:val="22"/>
        </w:rPr>
        <w:t>1</w:t>
      </w:r>
      <w:r w:rsidR="00B53CB5" w:rsidRPr="009A3A14">
        <w:rPr>
          <w:color w:val="000000"/>
          <w:sz w:val="22"/>
          <w:szCs w:val="22"/>
        </w:rPr>
        <w:t>.202</w:t>
      </w:r>
      <w:r w:rsidR="008835D6">
        <w:rPr>
          <w:color w:val="000000"/>
          <w:sz w:val="22"/>
          <w:szCs w:val="22"/>
        </w:rPr>
        <w:t>5</w:t>
      </w:r>
      <w:r w:rsidR="00B53CB5" w:rsidRPr="009A3A14">
        <w:rPr>
          <w:color w:val="000000"/>
          <w:sz w:val="22"/>
          <w:szCs w:val="22"/>
        </w:rPr>
        <w:t xml:space="preserve"> г.</w:t>
      </w:r>
      <w:r w:rsidR="005F4443" w:rsidRPr="009A3A14">
        <w:rPr>
          <w:color w:val="000000"/>
          <w:sz w:val="22"/>
          <w:szCs w:val="22"/>
        </w:rPr>
        <w:t xml:space="preserve"> до</w:t>
      </w:r>
      <w:r w:rsidR="0029726D" w:rsidRPr="009A3A14">
        <w:rPr>
          <w:color w:val="000000"/>
          <w:sz w:val="22"/>
          <w:szCs w:val="22"/>
        </w:rPr>
        <w:t xml:space="preserve">  </w:t>
      </w:r>
      <w:r w:rsidR="0089305C">
        <w:rPr>
          <w:color w:val="000000"/>
          <w:sz w:val="22"/>
          <w:szCs w:val="22"/>
        </w:rPr>
        <w:t>10</w:t>
      </w:r>
      <w:r w:rsidR="009779BA" w:rsidRPr="009A3A14">
        <w:rPr>
          <w:color w:val="000000"/>
          <w:sz w:val="22"/>
          <w:szCs w:val="22"/>
        </w:rPr>
        <w:t>:</w:t>
      </w:r>
      <w:r w:rsidR="008D32FA">
        <w:rPr>
          <w:color w:val="000000"/>
          <w:sz w:val="22"/>
          <w:szCs w:val="22"/>
        </w:rPr>
        <w:t>0</w:t>
      </w:r>
      <w:r w:rsidR="0001103A" w:rsidRPr="009A3A14">
        <w:rPr>
          <w:color w:val="000000"/>
          <w:sz w:val="22"/>
          <w:szCs w:val="22"/>
        </w:rPr>
        <w:t>0</w:t>
      </w:r>
      <w:r w:rsidR="009779BA" w:rsidRPr="009A3A14">
        <w:rPr>
          <w:color w:val="000000"/>
          <w:sz w:val="22"/>
          <w:szCs w:val="22"/>
        </w:rPr>
        <w:t xml:space="preserve"> ч.</w:t>
      </w:r>
    </w:p>
    <w:p w:rsidR="00F410A1" w:rsidRPr="009A3A14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sz w:val="22"/>
          <w:szCs w:val="22"/>
          <w:lang w:val="kk-KZ"/>
        </w:rPr>
      </w:pPr>
      <w:r w:rsidRPr="009A3A14">
        <w:rPr>
          <w:b/>
          <w:spacing w:val="2"/>
          <w:sz w:val="22"/>
          <w:szCs w:val="22"/>
          <w:lang w:val="kk-KZ"/>
        </w:rPr>
        <w:t>Дата, время и место вскрытия конвертов с тендерными заявками</w:t>
      </w:r>
      <w:r w:rsidRPr="009A3A14">
        <w:rPr>
          <w:spacing w:val="2"/>
          <w:sz w:val="22"/>
          <w:szCs w:val="22"/>
          <w:lang w:val="kk-KZ"/>
        </w:rPr>
        <w:t xml:space="preserve">  - </w:t>
      </w:r>
      <w:r w:rsidR="00EE4060">
        <w:rPr>
          <w:spacing w:val="2"/>
          <w:sz w:val="22"/>
          <w:szCs w:val="22"/>
          <w:lang w:val="kk-KZ"/>
        </w:rPr>
        <w:t>1</w:t>
      </w:r>
      <w:r w:rsidR="002B303D">
        <w:rPr>
          <w:spacing w:val="2"/>
          <w:sz w:val="22"/>
          <w:szCs w:val="22"/>
          <w:lang w:val="kk-KZ"/>
        </w:rPr>
        <w:t>4</w:t>
      </w:r>
      <w:r w:rsidRPr="009A3A14">
        <w:rPr>
          <w:spacing w:val="2"/>
          <w:sz w:val="22"/>
          <w:szCs w:val="22"/>
          <w:lang w:val="kk-KZ"/>
        </w:rPr>
        <w:t>.</w:t>
      </w:r>
      <w:r w:rsidR="00EE4060">
        <w:rPr>
          <w:spacing w:val="2"/>
          <w:sz w:val="22"/>
          <w:szCs w:val="22"/>
          <w:lang w:val="kk-KZ"/>
        </w:rPr>
        <w:t>01</w:t>
      </w:r>
      <w:r w:rsidRPr="009A3A14">
        <w:rPr>
          <w:spacing w:val="2"/>
          <w:sz w:val="22"/>
          <w:szCs w:val="22"/>
          <w:lang w:val="kk-KZ"/>
        </w:rPr>
        <w:t>.202</w:t>
      </w:r>
      <w:r w:rsidR="00EE4060">
        <w:rPr>
          <w:spacing w:val="2"/>
          <w:sz w:val="22"/>
          <w:szCs w:val="22"/>
          <w:lang w:val="kk-KZ"/>
        </w:rPr>
        <w:t>5</w:t>
      </w:r>
      <w:r w:rsidRPr="009A3A14">
        <w:rPr>
          <w:spacing w:val="2"/>
          <w:sz w:val="22"/>
          <w:szCs w:val="22"/>
          <w:lang w:val="kk-KZ"/>
        </w:rPr>
        <w:t xml:space="preserve"> г. в </w:t>
      </w:r>
      <w:r w:rsidR="00EE4060">
        <w:rPr>
          <w:spacing w:val="2"/>
          <w:sz w:val="22"/>
          <w:szCs w:val="22"/>
          <w:lang w:val="kk-KZ"/>
        </w:rPr>
        <w:t>11</w:t>
      </w:r>
      <w:r w:rsidRPr="009A3A14">
        <w:rPr>
          <w:spacing w:val="2"/>
          <w:sz w:val="22"/>
          <w:szCs w:val="22"/>
          <w:lang w:val="kk-KZ"/>
        </w:rPr>
        <w:t>:</w:t>
      </w:r>
      <w:r w:rsidR="009211FD">
        <w:rPr>
          <w:spacing w:val="2"/>
          <w:sz w:val="22"/>
          <w:szCs w:val="22"/>
          <w:lang w:val="kk-KZ"/>
        </w:rPr>
        <w:t>00</w:t>
      </w:r>
      <w:r w:rsidRPr="009A3A14">
        <w:rPr>
          <w:spacing w:val="2"/>
          <w:sz w:val="22"/>
          <w:szCs w:val="22"/>
          <w:lang w:val="kk-KZ"/>
        </w:rPr>
        <w:t xml:space="preserve"> ч. в здании </w:t>
      </w:r>
      <w:r w:rsidRPr="009A3A14">
        <w:rPr>
          <w:spacing w:val="2"/>
          <w:sz w:val="22"/>
          <w:szCs w:val="22"/>
        </w:rPr>
        <w:t>КГП на ПХВ «Областной центр фтизиопульмонологии» КГУ «УЗ акимата СКО»,</w:t>
      </w:r>
      <w:r w:rsidRPr="009A3A14">
        <w:rPr>
          <w:spacing w:val="2"/>
          <w:sz w:val="22"/>
          <w:szCs w:val="22"/>
          <w:lang w:val="kk-KZ"/>
        </w:rPr>
        <w:t xml:space="preserve"> г. Петропавловск, ул. 4-я Линия 2, кабинет </w:t>
      </w:r>
      <w:r w:rsidR="009211FD">
        <w:rPr>
          <w:spacing w:val="2"/>
          <w:sz w:val="22"/>
          <w:szCs w:val="22"/>
          <w:lang w:val="kk-KZ"/>
        </w:rPr>
        <w:t>директора</w:t>
      </w:r>
      <w:r w:rsidRPr="009A3A14">
        <w:rPr>
          <w:spacing w:val="2"/>
          <w:sz w:val="22"/>
          <w:szCs w:val="22"/>
          <w:lang w:val="kk-KZ"/>
        </w:rPr>
        <w:t>.</w:t>
      </w:r>
    </w:p>
    <w:p w:rsidR="0035431D" w:rsidRPr="009A3A14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2"/>
          <w:szCs w:val="22"/>
        </w:rPr>
      </w:pPr>
      <w:r w:rsidRPr="009A3A14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EE4060">
        <w:rPr>
          <w:rFonts w:eastAsiaTheme="minorEastAsia"/>
          <w:color w:val="000000" w:themeColor="text1"/>
          <w:sz w:val="22"/>
          <w:szCs w:val="22"/>
        </w:rPr>
        <w:t>Кусемисов К.Т.</w:t>
      </w:r>
      <w:r w:rsidR="0035431D" w:rsidRPr="009A3A14">
        <w:rPr>
          <w:rFonts w:eastAsiaTheme="minorEastAsia"/>
          <w:color w:val="000000" w:themeColor="text1"/>
          <w:sz w:val="22"/>
          <w:szCs w:val="22"/>
        </w:rPr>
        <w:t xml:space="preserve">– </w:t>
      </w:r>
      <w:r w:rsidR="00EE4060">
        <w:rPr>
          <w:rFonts w:eastAsiaTheme="minorEastAsia"/>
          <w:color w:val="000000" w:themeColor="text1"/>
          <w:sz w:val="22"/>
          <w:szCs w:val="22"/>
        </w:rPr>
        <w:t xml:space="preserve">и.о. </w:t>
      </w:r>
      <w:r w:rsidR="009211FD">
        <w:rPr>
          <w:rFonts w:eastAsiaTheme="minorEastAsia"/>
          <w:color w:val="000000" w:themeColor="text1"/>
          <w:sz w:val="22"/>
          <w:szCs w:val="22"/>
        </w:rPr>
        <w:t>директор</w:t>
      </w:r>
      <w:r w:rsidR="00EE4060">
        <w:rPr>
          <w:rFonts w:eastAsiaTheme="minorEastAsia"/>
          <w:color w:val="000000" w:themeColor="text1"/>
          <w:sz w:val="22"/>
          <w:szCs w:val="22"/>
        </w:rPr>
        <w:t>а</w:t>
      </w:r>
      <w:r w:rsidR="0035431D" w:rsidRPr="009A3A14">
        <w:rPr>
          <w:rFonts w:eastAsiaTheme="minorEastAsia"/>
          <w:color w:val="000000" w:themeColor="text1"/>
          <w:sz w:val="22"/>
          <w:szCs w:val="22"/>
        </w:rPr>
        <w:t xml:space="preserve">, </w:t>
      </w:r>
      <w:r w:rsidR="0035431D" w:rsidRPr="009A3A14">
        <w:rPr>
          <w:rFonts w:eastAsiaTheme="minorEastAsia"/>
          <w:b/>
          <w:color w:val="000000" w:themeColor="text1"/>
          <w:sz w:val="22"/>
          <w:szCs w:val="22"/>
        </w:rPr>
        <w:t>председатель тендерной комиссии;</w:t>
      </w:r>
    </w:p>
    <w:p w:rsidR="0035431D" w:rsidRPr="009A3A14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2"/>
          <w:szCs w:val="22"/>
        </w:rPr>
      </w:pPr>
      <w:r w:rsidRPr="009A3A14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F76102" w:rsidRPr="009A3A14">
        <w:rPr>
          <w:rFonts w:eastAsiaTheme="minorEastAsia"/>
          <w:color w:val="000000" w:themeColor="text1"/>
          <w:sz w:val="22"/>
          <w:szCs w:val="22"/>
        </w:rPr>
        <w:t>Перепелкин П.В.</w:t>
      </w:r>
      <w:r w:rsidRPr="009A3A14">
        <w:rPr>
          <w:rFonts w:eastAsiaTheme="minorEastAsia"/>
          <w:color w:val="000000" w:themeColor="text1"/>
          <w:sz w:val="22"/>
          <w:szCs w:val="22"/>
        </w:rPr>
        <w:t xml:space="preserve"> – </w:t>
      </w:r>
      <w:r w:rsidR="00F76102" w:rsidRPr="009A3A14">
        <w:rPr>
          <w:rFonts w:eastAsiaTheme="minorEastAsia"/>
          <w:color w:val="000000" w:themeColor="text1"/>
          <w:sz w:val="22"/>
          <w:szCs w:val="22"/>
        </w:rPr>
        <w:t>юрист</w:t>
      </w:r>
      <w:r w:rsidRPr="009A3A14">
        <w:rPr>
          <w:rFonts w:eastAsiaTheme="minorEastAsia"/>
          <w:color w:val="000000" w:themeColor="text1"/>
          <w:sz w:val="22"/>
          <w:szCs w:val="22"/>
        </w:rPr>
        <w:t xml:space="preserve">, </w:t>
      </w:r>
      <w:r w:rsidRPr="009A3A14">
        <w:rPr>
          <w:rFonts w:eastAsiaTheme="minorEastAsia"/>
          <w:b/>
          <w:color w:val="000000" w:themeColor="text1"/>
          <w:sz w:val="22"/>
          <w:szCs w:val="22"/>
        </w:rPr>
        <w:t>заместитель председателя тендерной комиссии;</w:t>
      </w:r>
    </w:p>
    <w:p w:rsidR="0035431D" w:rsidRPr="009A3A14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2"/>
          <w:szCs w:val="22"/>
        </w:rPr>
      </w:pPr>
      <w:r w:rsidRPr="009A3A14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48491C" w:rsidRPr="009A3A14">
        <w:rPr>
          <w:rFonts w:eastAsiaTheme="minorEastAsia"/>
          <w:color w:val="000000" w:themeColor="text1"/>
          <w:sz w:val="22"/>
          <w:szCs w:val="22"/>
        </w:rPr>
        <w:t xml:space="preserve">Малков О.А. </w:t>
      </w:r>
      <w:r w:rsidR="00796F9A" w:rsidRPr="009A3A14">
        <w:rPr>
          <w:rFonts w:eastAsiaTheme="minorEastAsia"/>
          <w:color w:val="000000" w:themeColor="text1"/>
          <w:sz w:val="22"/>
          <w:szCs w:val="22"/>
        </w:rPr>
        <w:t>–</w:t>
      </w:r>
      <w:r w:rsidRPr="009A3A14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48491C" w:rsidRPr="009A3A14">
        <w:rPr>
          <w:rFonts w:eastAsiaTheme="minorEastAsia"/>
          <w:color w:val="000000" w:themeColor="text1"/>
          <w:sz w:val="22"/>
          <w:szCs w:val="22"/>
        </w:rPr>
        <w:t>областной координатор по лекарственному обеспечению</w:t>
      </w:r>
      <w:r w:rsidRPr="009A3A14">
        <w:rPr>
          <w:rFonts w:eastAsiaTheme="minorEastAsia"/>
          <w:color w:val="000000" w:themeColor="text1"/>
          <w:sz w:val="22"/>
          <w:szCs w:val="22"/>
        </w:rPr>
        <w:t xml:space="preserve">, </w:t>
      </w:r>
      <w:r w:rsidRPr="009A3A14">
        <w:rPr>
          <w:rFonts w:eastAsiaTheme="minorEastAsia"/>
          <w:b/>
          <w:color w:val="000000" w:themeColor="text1"/>
          <w:sz w:val="22"/>
          <w:szCs w:val="22"/>
        </w:rPr>
        <w:t>член тендерной комиссии</w:t>
      </w:r>
      <w:r w:rsidRPr="009A3A14">
        <w:rPr>
          <w:rFonts w:eastAsiaTheme="minorEastAsia"/>
          <w:color w:val="000000" w:themeColor="text1"/>
          <w:sz w:val="22"/>
          <w:szCs w:val="22"/>
        </w:rPr>
        <w:t>;</w:t>
      </w:r>
    </w:p>
    <w:p w:rsidR="0035431D" w:rsidRPr="009A3A14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  <w:sz w:val="22"/>
          <w:szCs w:val="22"/>
        </w:rPr>
      </w:pPr>
      <w:r w:rsidRPr="009A3A14">
        <w:rPr>
          <w:rFonts w:eastAsiaTheme="minorEastAsia"/>
          <w:color w:val="000000" w:themeColor="text1"/>
          <w:sz w:val="22"/>
          <w:szCs w:val="22"/>
        </w:rPr>
        <w:t xml:space="preserve">            </w:t>
      </w:r>
      <w:r w:rsidR="0013409E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796F9A" w:rsidRPr="009A3A14">
        <w:rPr>
          <w:rFonts w:eastAsiaTheme="minorEastAsia"/>
          <w:color w:val="000000" w:themeColor="text1"/>
          <w:sz w:val="22"/>
          <w:szCs w:val="22"/>
        </w:rPr>
        <w:t>Фомичева А.Н.</w:t>
      </w:r>
      <w:r w:rsidRPr="009A3A14">
        <w:rPr>
          <w:rFonts w:eastAsiaTheme="minorEastAsia"/>
          <w:color w:val="000000" w:themeColor="text1"/>
          <w:sz w:val="22"/>
          <w:szCs w:val="22"/>
        </w:rPr>
        <w:t xml:space="preserve"> – специалист  по государственным закупкам, </w:t>
      </w:r>
      <w:r w:rsidRPr="009A3A14">
        <w:rPr>
          <w:rFonts w:eastAsiaTheme="minorEastAsia"/>
          <w:b/>
          <w:color w:val="000000" w:themeColor="text1"/>
          <w:sz w:val="22"/>
          <w:szCs w:val="22"/>
        </w:rPr>
        <w:t>секретарь тендерной комиссии</w:t>
      </w:r>
      <w:r w:rsidRPr="009A3A14">
        <w:rPr>
          <w:rFonts w:eastAsiaTheme="minorEastAsia"/>
          <w:color w:val="000000" w:themeColor="text1"/>
          <w:sz w:val="22"/>
          <w:szCs w:val="22"/>
        </w:rPr>
        <w:t>.</w:t>
      </w:r>
    </w:p>
    <w:p w:rsidR="0048586C" w:rsidRPr="009A3A14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lang w:val="kk-KZ"/>
        </w:rPr>
      </w:pPr>
      <w:r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Порядок и источник передачи тендерной документации - 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Пакет тендерной документации можно получить в срок до </w:t>
      </w:r>
      <w:r w:rsidR="00C869AC">
        <w:rPr>
          <w:rFonts w:ascii="Times New Roman" w:eastAsia="Times New Roman" w:hAnsi="Times New Roman" w:cs="Times New Roman"/>
          <w:spacing w:val="2"/>
          <w:lang w:val="kk-KZ"/>
        </w:rPr>
        <w:t>10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часов</w:t>
      </w:r>
      <w:r w:rsidR="00B5709D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</w:t>
      </w:r>
      <w:r w:rsidR="00574890">
        <w:rPr>
          <w:rFonts w:ascii="Times New Roman" w:eastAsia="Times New Roman" w:hAnsi="Times New Roman" w:cs="Times New Roman"/>
          <w:spacing w:val="2"/>
          <w:lang w:val="kk-KZ"/>
        </w:rPr>
        <w:t>00</w:t>
      </w:r>
      <w:r w:rsidR="00B5709D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минут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</w:t>
      </w:r>
      <w:r w:rsidR="00C869AC">
        <w:rPr>
          <w:rFonts w:ascii="Times New Roman" w:eastAsia="Times New Roman" w:hAnsi="Times New Roman" w:cs="Times New Roman"/>
          <w:spacing w:val="2"/>
          <w:lang w:val="kk-KZ"/>
        </w:rPr>
        <w:t>1</w:t>
      </w:r>
      <w:r w:rsidR="004E5F43">
        <w:rPr>
          <w:rFonts w:ascii="Times New Roman" w:eastAsia="Times New Roman" w:hAnsi="Times New Roman" w:cs="Times New Roman"/>
          <w:spacing w:val="2"/>
          <w:lang w:val="kk-KZ"/>
        </w:rPr>
        <w:t>4</w:t>
      </w:r>
      <w:r w:rsidR="00577D03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</w:t>
      </w:r>
      <w:r w:rsidR="00C869AC">
        <w:rPr>
          <w:rFonts w:ascii="Times New Roman" w:eastAsia="Times New Roman" w:hAnsi="Times New Roman" w:cs="Times New Roman"/>
          <w:spacing w:val="2"/>
          <w:lang w:val="kk-KZ"/>
        </w:rPr>
        <w:t>января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20</w:t>
      </w:r>
      <w:r w:rsidR="005F5D7E" w:rsidRPr="009A3A14">
        <w:rPr>
          <w:rFonts w:ascii="Times New Roman" w:eastAsia="Times New Roman" w:hAnsi="Times New Roman" w:cs="Times New Roman"/>
          <w:spacing w:val="2"/>
          <w:lang w:val="kk-KZ"/>
        </w:rPr>
        <w:t>2</w:t>
      </w:r>
      <w:r w:rsidR="00C869AC">
        <w:rPr>
          <w:rFonts w:ascii="Times New Roman" w:eastAsia="Times New Roman" w:hAnsi="Times New Roman" w:cs="Times New Roman"/>
          <w:spacing w:val="2"/>
          <w:lang w:val="kk-KZ"/>
        </w:rPr>
        <w:t>5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9A3A14">
        <w:rPr>
          <w:rFonts w:ascii="Times New Roman" w:eastAsia="Times New Roman" w:hAnsi="Times New Roman" w:cs="Times New Roman"/>
          <w:spacing w:val="2"/>
          <w:lang w:val="kk-KZ"/>
        </w:rPr>
        <w:t>4-я Линия 2</w:t>
      </w:r>
      <w:r w:rsidR="001624FB" w:rsidRPr="009A3A14">
        <w:rPr>
          <w:rFonts w:ascii="Times New Roman" w:eastAsia="Times New Roman" w:hAnsi="Times New Roman" w:cs="Times New Roman"/>
          <w:spacing w:val="2"/>
          <w:lang w:val="kk-KZ"/>
        </w:rPr>
        <w:t>,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</w:t>
      </w:r>
      <w:r w:rsidR="00B854AA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отдел государственных закупок, 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с </w:t>
      </w:r>
      <w:r w:rsidR="0048586C" w:rsidRPr="009A3A14">
        <w:rPr>
          <w:rFonts w:ascii="Times New Roman" w:eastAsia="Times New Roman" w:hAnsi="Times New Roman" w:cs="Times New Roman"/>
          <w:spacing w:val="2"/>
          <w:lang w:val="kk-KZ"/>
        </w:rPr>
        <w:t>8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часов 00 минут по 1</w:t>
      </w:r>
      <w:r w:rsidR="0048586C" w:rsidRPr="009A3A14">
        <w:rPr>
          <w:rFonts w:ascii="Times New Roman" w:eastAsia="Times New Roman" w:hAnsi="Times New Roman" w:cs="Times New Roman"/>
          <w:spacing w:val="2"/>
          <w:lang w:val="kk-KZ"/>
        </w:rPr>
        <w:t>7 часов 0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9A3A14">
          <w:rPr>
            <w:rFonts w:ascii="Times New Roman" w:eastAsia="Times New Roman" w:hAnsi="Times New Roman" w:cs="Times New Roman"/>
            <w:spacing w:val="2"/>
            <w:lang w:val="kk-KZ"/>
          </w:rPr>
          <w:t>optd_2014@mail.</w:t>
        </w:r>
      </w:hyperlink>
      <w:r w:rsidR="0048586C" w:rsidRPr="009A3A14">
        <w:rPr>
          <w:rFonts w:ascii="Times New Roman" w:eastAsia="Times New Roman" w:hAnsi="Times New Roman" w:cs="Times New Roman"/>
          <w:spacing w:val="2"/>
          <w:lang w:val="kk-KZ"/>
        </w:rPr>
        <w:t>ru</w:t>
      </w:r>
      <w:r w:rsidR="001F3B85" w:rsidRPr="009A3A14">
        <w:rPr>
          <w:rFonts w:ascii="Times New Roman" w:eastAsia="Times New Roman" w:hAnsi="Times New Roman" w:cs="Times New Roman"/>
          <w:spacing w:val="2"/>
          <w:lang w:val="kk-KZ"/>
        </w:rPr>
        <w:t xml:space="preserve">  или на интернет ресурсе заказчика  </w:t>
      </w:r>
      <w:hyperlink r:id="rId7" w:history="1">
        <w:r w:rsidR="0048586C" w:rsidRPr="009A3A14">
          <w:rPr>
            <w:rFonts w:ascii="Times New Roman" w:eastAsia="Times New Roman" w:hAnsi="Times New Roman" w:cs="Times New Roman"/>
            <w:spacing w:val="2"/>
            <w:lang w:val="kk-KZ"/>
          </w:rPr>
          <w:t>http://www.optd.sko.kz</w:t>
        </w:r>
      </w:hyperlink>
      <w:r w:rsidR="004838F3" w:rsidRPr="009A3A14">
        <w:rPr>
          <w:rFonts w:ascii="Times New Roman" w:hAnsi="Times New Roman" w:cs="Times New Roman"/>
        </w:rPr>
        <w:t>.</w:t>
      </w:r>
    </w:p>
    <w:p w:rsidR="0048586C" w:rsidRPr="009A3A14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  <w:sz w:val="22"/>
          <w:szCs w:val="22"/>
        </w:rPr>
      </w:pPr>
      <w:proofErr w:type="gramStart"/>
      <w:r w:rsidRPr="009A3A14">
        <w:rPr>
          <w:color w:val="000000" w:themeColor="text1"/>
          <w:sz w:val="22"/>
          <w:szCs w:val="22"/>
        </w:rPr>
        <w:t>К тендеру допускаются все потенциальные  поставщики, отвечающие квалификацио</w:t>
      </w:r>
      <w:r w:rsidR="002A4C6F" w:rsidRPr="009A3A14">
        <w:rPr>
          <w:color w:val="000000" w:themeColor="text1"/>
          <w:sz w:val="22"/>
          <w:szCs w:val="22"/>
        </w:rPr>
        <w:t xml:space="preserve">нным требованиям, указанным в </w:t>
      </w:r>
      <w:r w:rsidR="001C7EAF" w:rsidRPr="009A3A14">
        <w:rPr>
          <w:color w:val="000000" w:themeColor="text1"/>
          <w:sz w:val="22"/>
          <w:szCs w:val="22"/>
        </w:rPr>
        <w:t>п.</w:t>
      </w:r>
      <w:r w:rsidR="002A4C6F" w:rsidRPr="009A3A14">
        <w:rPr>
          <w:color w:val="000000" w:themeColor="text1"/>
          <w:sz w:val="22"/>
          <w:szCs w:val="22"/>
        </w:rPr>
        <w:t xml:space="preserve"> </w:t>
      </w:r>
      <w:r w:rsidR="001C7EAF" w:rsidRPr="009A3A14">
        <w:rPr>
          <w:color w:val="000000" w:themeColor="text1"/>
          <w:sz w:val="22"/>
          <w:szCs w:val="22"/>
        </w:rPr>
        <w:t>9</w:t>
      </w:r>
      <w:r w:rsidRPr="009A3A14">
        <w:rPr>
          <w:color w:val="000000" w:themeColor="text1"/>
          <w:sz w:val="22"/>
          <w:szCs w:val="22"/>
        </w:rPr>
        <w:t xml:space="preserve"> </w:t>
      </w:r>
      <w:r w:rsidR="008E7F5E" w:rsidRPr="009A3A14">
        <w:rPr>
          <w:sz w:val="22"/>
          <w:szCs w:val="22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</w:t>
      </w:r>
      <w:r w:rsidR="008E7F5E" w:rsidRPr="009A3A14">
        <w:rPr>
          <w:sz w:val="22"/>
          <w:szCs w:val="22"/>
        </w:rPr>
        <w:lastRenderedPageBreak/>
        <w:t>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9A3A14">
        <w:rPr>
          <w:sz w:val="22"/>
          <w:szCs w:val="22"/>
        </w:rPr>
        <w:t>, фармацевтических услуг, Приказ Министра здравоохранения Республики Казахстан от 7 июня 2023 года № 110</w:t>
      </w:r>
      <w:r w:rsidR="005614C5" w:rsidRPr="009A3A14">
        <w:rPr>
          <w:color w:val="000000" w:themeColor="text1"/>
          <w:sz w:val="22"/>
          <w:szCs w:val="22"/>
        </w:rPr>
        <w:t>.</w:t>
      </w:r>
    </w:p>
    <w:p w:rsidR="005614C5" w:rsidRPr="009A3A14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  <w:sz w:val="22"/>
          <w:szCs w:val="22"/>
        </w:rPr>
      </w:pPr>
      <w:proofErr w:type="gramStart"/>
      <w:r w:rsidRPr="009A3A14">
        <w:rPr>
          <w:color w:val="000000" w:themeColor="text1"/>
          <w:sz w:val="22"/>
          <w:szCs w:val="22"/>
        </w:rPr>
        <w:t xml:space="preserve">К </w:t>
      </w:r>
      <w:r w:rsidR="00762D55" w:rsidRPr="009A3A14">
        <w:rPr>
          <w:color w:val="000000" w:themeColor="text1"/>
          <w:sz w:val="22"/>
          <w:szCs w:val="22"/>
        </w:rPr>
        <w:t>закупаемым и отпускаемым (при закупе фармацевтических услуг) лекарственным средствам</w:t>
      </w:r>
      <w:r w:rsidR="00BC34B3" w:rsidRPr="009A3A14">
        <w:rPr>
          <w:color w:val="000000" w:themeColor="text1"/>
          <w:sz w:val="22"/>
          <w:szCs w:val="22"/>
        </w:rPr>
        <w:t>, медицинским изделиям</w:t>
      </w:r>
      <w:r w:rsidR="00762D55" w:rsidRPr="009A3A14">
        <w:rPr>
          <w:color w:val="000000" w:themeColor="text1"/>
          <w:sz w:val="22"/>
          <w:szCs w:val="22"/>
        </w:rPr>
        <w:t>,</w:t>
      </w:r>
      <w:r w:rsidR="006711C0" w:rsidRPr="009A3A14">
        <w:rPr>
          <w:color w:val="000000" w:themeColor="text1"/>
          <w:sz w:val="22"/>
          <w:szCs w:val="22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9A3A14">
        <w:rPr>
          <w:color w:val="000000" w:themeColor="text1"/>
          <w:sz w:val="22"/>
          <w:szCs w:val="22"/>
        </w:rPr>
        <w:t>а</w:t>
      </w:r>
      <w:r w:rsidR="006711C0" w:rsidRPr="009A3A14">
        <w:rPr>
          <w:color w:val="000000" w:themeColor="text1"/>
          <w:sz w:val="22"/>
          <w:szCs w:val="22"/>
        </w:rPr>
        <w:t>хования</w:t>
      </w:r>
      <w:r w:rsidR="00E33B00" w:rsidRPr="009A3A14">
        <w:rPr>
          <w:color w:val="000000" w:themeColor="text1"/>
          <w:sz w:val="22"/>
          <w:szCs w:val="22"/>
        </w:rPr>
        <w:t xml:space="preserve"> </w:t>
      </w:r>
      <w:r w:rsidR="005614C5" w:rsidRPr="009A3A14">
        <w:rPr>
          <w:color w:val="000000" w:themeColor="text1"/>
          <w:sz w:val="22"/>
          <w:szCs w:val="22"/>
        </w:rPr>
        <w:t>долж</w:t>
      </w:r>
      <w:r w:rsidRPr="009A3A14">
        <w:rPr>
          <w:color w:val="000000" w:themeColor="text1"/>
          <w:sz w:val="22"/>
          <w:szCs w:val="22"/>
        </w:rPr>
        <w:t>е</w:t>
      </w:r>
      <w:r w:rsidR="005614C5" w:rsidRPr="009A3A14">
        <w:rPr>
          <w:color w:val="000000" w:themeColor="text1"/>
          <w:sz w:val="22"/>
          <w:szCs w:val="22"/>
        </w:rPr>
        <w:t>н соответствовать требованиям п.</w:t>
      </w:r>
      <w:r w:rsidR="009F736C" w:rsidRPr="009A3A14">
        <w:rPr>
          <w:color w:val="000000" w:themeColor="text1"/>
          <w:sz w:val="22"/>
          <w:szCs w:val="22"/>
        </w:rPr>
        <w:t xml:space="preserve"> </w:t>
      </w:r>
      <w:r w:rsidR="0066157F" w:rsidRPr="009A3A14">
        <w:rPr>
          <w:color w:val="000000" w:themeColor="text1"/>
          <w:sz w:val="22"/>
          <w:szCs w:val="22"/>
        </w:rPr>
        <w:t>11</w:t>
      </w:r>
      <w:r w:rsidR="00F93618" w:rsidRPr="009A3A14">
        <w:rPr>
          <w:color w:val="000000" w:themeColor="text1"/>
          <w:sz w:val="22"/>
          <w:szCs w:val="22"/>
        </w:rPr>
        <w:t xml:space="preserve"> </w:t>
      </w:r>
      <w:r w:rsidR="008E7F5E" w:rsidRPr="009A3A14">
        <w:rPr>
          <w:sz w:val="22"/>
          <w:szCs w:val="22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9A3A14">
        <w:rPr>
          <w:sz w:val="22"/>
          <w:szCs w:val="22"/>
        </w:rPr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Приказ Министра здравоохранения Республики Казахстан от 7 июня 2023 года № 110</w:t>
      </w:r>
      <w:r w:rsidR="005614C5" w:rsidRPr="009A3A14">
        <w:rPr>
          <w:color w:val="000000" w:themeColor="text1"/>
          <w:sz w:val="22"/>
          <w:szCs w:val="22"/>
        </w:rPr>
        <w:t>.</w:t>
      </w:r>
    </w:p>
    <w:p w:rsidR="0002114B" w:rsidRPr="009A3A14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sz w:val="22"/>
          <w:szCs w:val="22"/>
          <w:lang w:val="kk-KZ"/>
        </w:rPr>
      </w:pPr>
      <w:bookmarkStart w:id="0" w:name="z198"/>
      <w:bookmarkEnd w:id="0"/>
      <w:r w:rsidRPr="009A3A14">
        <w:rPr>
          <w:b/>
          <w:spacing w:val="2"/>
          <w:sz w:val="22"/>
          <w:szCs w:val="22"/>
          <w:lang w:val="kk-KZ"/>
        </w:rPr>
        <w:t>М</w:t>
      </w:r>
      <w:r w:rsidR="003F2140" w:rsidRPr="009A3A14">
        <w:rPr>
          <w:b/>
          <w:spacing w:val="2"/>
          <w:sz w:val="22"/>
          <w:szCs w:val="22"/>
          <w:lang w:val="kk-KZ"/>
        </w:rPr>
        <w:t>есто представления (приема) документов</w:t>
      </w:r>
      <w:r w:rsidR="003F2140" w:rsidRPr="009A3A14">
        <w:rPr>
          <w:spacing w:val="2"/>
          <w:sz w:val="22"/>
          <w:szCs w:val="22"/>
          <w:lang w:val="kk-KZ"/>
        </w:rPr>
        <w:t xml:space="preserve"> – СКО, г.</w:t>
      </w:r>
      <w:r w:rsidR="00A022FC" w:rsidRPr="009A3A14">
        <w:rPr>
          <w:spacing w:val="2"/>
          <w:sz w:val="22"/>
          <w:szCs w:val="22"/>
          <w:lang w:val="kk-KZ"/>
        </w:rPr>
        <w:t xml:space="preserve"> </w:t>
      </w:r>
      <w:r w:rsidR="003F2140" w:rsidRPr="009A3A14">
        <w:rPr>
          <w:spacing w:val="2"/>
          <w:sz w:val="22"/>
          <w:szCs w:val="22"/>
          <w:lang w:val="kk-KZ"/>
        </w:rPr>
        <w:t xml:space="preserve">Петропавловск, ул. 4-я Линия 2, кабинет </w:t>
      </w:r>
      <w:r w:rsidR="003221C9" w:rsidRPr="009A3A14">
        <w:rPr>
          <w:spacing w:val="2"/>
          <w:sz w:val="22"/>
          <w:szCs w:val="22"/>
          <w:lang w:val="kk-KZ"/>
        </w:rPr>
        <w:t xml:space="preserve">государственных закупок. </w:t>
      </w:r>
    </w:p>
    <w:p w:rsidR="00C53353" w:rsidRPr="009A3A14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  <w:sz w:val="22"/>
          <w:szCs w:val="22"/>
        </w:rPr>
      </w:pPr>
      <w:r w:rsidRPr="009A3A14">
        <w:rPr>
          <w:spacing w:val="2"/>
          <w:sz w:val="22"/>
          <w:szCs w:val="2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9A3A14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9A3A14">
        <w:rPr>
          <w:rFonts w:ascii="Times New Roman" w:hAnsi="Times New Roman" w:cs="Times New Roman"/>
        </w:rPr>
        <w:t xml:space="preserve">Потенциальные поставщики могут присутствовать при вскрытии </w:t>
      </w:r>
      <w:r w:rsidR="00FA720B" w:rsidRPr="009A3A14">
        <w:rPr>
          <w:rFonts w:ascii="Times New Roman" w:hAnsi="Times New Roman" w:cs="Times New Roman"/>
        </w:rPr>
        <w:t>конвертов с тендерными заявками (при обязательном наличии доверенности).</w:t>
      </w:r>
    </w:p>
    <w:p w:rsidR="001F3B85" w:rsidRPr="009A3A14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9A3A14">
        <w:rPr>
          <w:rFonts w:ascii="Times New Roman" w:hAnsi="Times New Roman" w:cs="Times New Roman"/>
        </w:rPr>
        <w:t>Дополнительную информацию и справку можно получить по телефону: 8(7152)</w:t>
      </w:r>
      <w:r w:rsidR="00796F9A" w:rsidRPr="009A3A14">
        <w:rPr>
          <w:rFonts w:ascii="Times New Roman" w:hAnsi="Times New Roman" w:cs="Times New Roman"/>
        </w:rPr>
        <w:t xml:space="preserve"> </w:t>
      </w:r>
      <w:r w:rsidR="000C6E58" w:rsidRPr="009A3A14">
        <w:rPr>
          <w:rFonts w:ascii="Times New Roman" w:hAnsi="Times New Roman" w:cs="Times New Roman"/>
        </w:rPr>
        <w:t>62-57-75</w:t>
      </w:r>
      <w:r w:rsidR="00644EA0" w:rsidRPr="009A3A14">
        <w:rPr>
          <w:rFonts w:ascii="Times New Roman" w:hAnsi="Times New Roman" w:cs="Times New Roman"/>
        </w:rPr>
        <w:t xml:space="preserve">, </w:t>
      </w:r>
      <w:proofErr w:type="spellStart"/>
      <w:r w:rsidR="00644EA0" w:rsidRPr="009A3A14">
        <w:rPr>
          <w:rFonts w:ascii="Times New Roman" w:hAnsi="Times New Roman" w:cs="Times New Roman"/>
        </w:rPr>
        <w:t>вн</w:t>
      </w:r>
      <w:proofErr w:type="spellEnd"/>
      <w:r w:rsidR="00644EA0" w:rsidRPr="009A3A14">
        <w:rPr>
          <w:rFonts w:ascii="Times New Roman" w:hAnsi="Times New Roman" w:cs="Times New Roman"/>
        </w:rPr>
        <w:t>.</w:t>
      </w:r>
      <w:r w:rsidR="00C869AC">
        <w:rPr>
          <w:rFonts w:ascii="Times New Roman" w:hAnsi="Times New Roman" w:cs="Times New Roman"/>
        </w:rPr>
        <w:t xml:space="preserve"> </w:t>
      </w:r>
      <w:r w:rsidR="00644EA0" w:rsidRPr="009A3A14">
        <w:rPr>
          <w:rFonts w:ascii="Times New Roman" w:hAnsi="Times New Roman" w:cs="Times New Roman"/>
        </w:rPr>
        <w:t>305</w:t>
      </w:r>
      <w:r w:rsidR="00A74F1F" w:rsidRPr="009A3A14">
        <w:rPr>
          <w:rFonts w:ascii="Times New Roman" w:hAnsi="Times New Roman" w:cs="Times New Roman"/>
        </w:rPr>
        <w:t>.</w:t>
      </w:r>
    </w:p>
    <w:p w:rsidR="00EB0339" w:rsidRPr="009A3A14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B4E30" w:rsidRPr="009A3A14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3B74D9" w:rsidRPr="009A3A14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5F3D7C" w:rsidRPr="009A3A14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5F3D7C" w:rsidRPr="009A3A14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3B74D9" w:rsidRPr="009A3A14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B4E30" w:rsidRPr="009A3A14" w:rsidRDefault="00C869AC" w:rsidP="00996A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И.о. директора                                                               Кусемисов К.Т.</w:t>
      </w:r>
    </w:p>
    <w:p w:rsidR="009A3A14" w:rsidRPr="009A3A14" w:rsidRDefault="009A3A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9A3A14" w:rsidRPr="009A3A14" w:rsidSect="004C5B35">
      <w:pgSz w:w="16838" w:h="11906" w:orient="landscape"/>
      <w:pgMar w:top="1134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1885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E5342"/>
    <w:rsid w:val="000F06E8"/>
    <w:rsid w:val="000F50FD"/>
    <w:rsid w:val="00101661"/>
    <w:rsid w:val="00103AA3"/>
    <w:rsid w:val="00106668"/>
    <w:rsid w:val="00107127"/>
    <w:rsid w:val="00126F30"/>
    <w:rsid w:val="00133C6E"/>
    <w:rsid w:val="0013409E"/>
    <w:rsid w:val="00141DFF"/>
    <w:rsid w:val="00143A58"/>
    <w:rsid w:val="00144C2F"/>
    <w:rsid w:val="001516F1"/>
    <w:rsid w:val="00152498"/>
    <w:rsid w:val="0015492F"/>
    <w:rsid w:val="00154A01"/>
    <w:rsid w:val="00157E12"/>
    <w:rsid w:val="00160711"/>
    <w:rsid w:val="001624FB"/>
    <w:rsid w:val="00171611"/>
    <w:rsid w:val="00171B56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405C"/>
    <w:rsid w:val="001C7EAF"/>
    <w:rsid w:val="001D0B5B"/>
    <w:rsid w:val="001D2F6B"/>
    <w:rsid w:val="001D36F9"/>
    <w:rsid w:val="001E0BE4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45AC"/>
    <w:rsid w:val="0022595E"/>
    <w:rsid w:val="00225C15"/>
    <w:rsid w:val="00226275"/>
    <w:rsid w:val="00232511"/>
    <w:rsid w:val="00232DE1"/>
    <w:rsid w:val="00236C99"/>
    <w:rsid w:val="002412DD"/>
    <w:rsid w:val="002475B8"/>
    <w:rsid w:val="002566C1"/>
    <w:rsid w:val="00261116"/>
    <w:rsid w:val="0026170C"/>
    <w:rsid w:val="002621DF"/>
    <w:rsid w:val="00262234"/>
    <w:rsid w:val="00270B11"/>
    <w:rsid w:val="00271FFC"/>
    <w:rsid w:val="002722D1"/>
    <w:rsid w:val="00276130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B303D"/>
    <w:rsid w:val="002B4075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430D"/>
    <w:rsid w:val="004156B1"/>
    <w:rsid w:val="00420FD4"/>
    <w:rsid w:val="00425194"/>
    <w:rsid w:val="0042529B"/>
    <w:rsid w:val="004306A0"/>
    <w:rsid w:val="0043788F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5B35"/>
    <w:rsid w:val="004C62ED"/>
    <w:rsid w:val="004E1B46"/>
    <w:rsid w:val="004E34A1"/>
    <w:rsid w:val="004E43CA"/>
    <w:rsid w:val="004E5F43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372FE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890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5BA"/>
    <w:rsid w:val="005F5A09"/>
    <w:rsid w:val="005F5D7E"/>
    <w:rsid w:val="005F63EA"/>
    <w:rsid w:val="00600208"/>
    <w:rsid w:val="0060554D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196E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577F"/>
    <w:rsid w:val="00801817"/>
    <w:rsid w:val="00812C59"/>
    <w:rsid w:val="00813AC5"/>
    <w:rsid w:val="00822307"/>
    <w:rsid w:val="00825AF7"/>
    <w:rsid w:val="00837D26"/>
    <w:rsid w:val="008423B2"/>
    <w:rsid w:val="0084385B"/>
    <w:rsid w:val="00860E46"/>
    <w:rsid w:val="00861736"/>
    <w:rsid w:val="008626C8"/>
    <w:rsid w:val="008660C3"/>
    <w:rsid w:val="008757E4"/>
    <w:rsid w:val="00882E1A"/>
    <w:rsid w:val="008835D6"/>
    <w:rsid w:val="00883A56"/>
    <w:rsid w:val="00883BA6"/>
    <w:rsid w:val="00885939"/>
    <w:rsid w:val="0089305C"/>
    <w:rsid w:val="00895D79"/>
    <w:rsid w:val="008A7E09"/>
    <w:rsid w:val="008C4A9E"/>
    <w:rsid w:val="008C55B2"/>
    <w:rsid w:val="008D260A"/>
    <w:rsid w:val="008D32FA"/>
    <w:rsid w:val="008D36EB"/>
    <w:rsid w:val="008D39B3"/>
    <w:rsid w:val="008E7F5E"/>
    <w:rsid w:val="008F6F3B"/>
    <w:rsid w:val="0090094C"/>
    <w:rsid w:val="009123B6"/>
    <w:rsid w:val="009211FD"/>
    <w:rsid w:val="009252F3"/>
    <w:rsid w:val="00930005"/>
    <w:rsid w:val="0093111E"/>
    <w:rsid w:val="00943193"/>
    <w:rsid w:val="00943EC8"/>
    <w:rsid w:val="009506B7"/>
    <w:rsid w:val="009601FA"/>
    <w:rsid w:val="0096123C"/>
    <w:rsid w:val="00961942"/>
    <w:rsid w:val="00963EDB"/>
    <w:rsid w:val="009779BA"/>
    <w:rsid w:val="00982823"/>
    <w:rsid w:val="00991195"/>
    <w:rsid w:val="0099380C"/>
    <w:rsid w:val="00996A09"/>
    <w:rsid w:val="009A2B1C"/>
    <w:rsid w:val="009A37CF"/>
    <w:rsid w:val="009A3946"/>
    <w:rsid w:val="009A3A14"/>
    <w:rsid w:val="009A4B2B"/>
    <w:rsid w:val="009A506D"/>
    <w:rsid w:val="009A6ACB"/>
    <w:rsid w:val="009A6E84"/>
    <w:rsid w:val="009A7105"/>
    <w:rsid w:val="009B6935"/>
    <w:rsid w:val="009C62D6"/>
    <w:rsid w:val="009D0A46"/>
    <w:rsid w:val="009D5DA8"/>
    <w:rsid w:val="009E0F36"/>
    <w:rsid w:val="009E5924"/>
    <w:rsid w:val="009E784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0C1E"/>
    <w:rsid w:val="00A4226B"/>
    <w:rsid w:val="00A5188F"/>
    <w:rsid w:val="00A60D35"/>
    <w:rsid w:val="00A638DC"/>
    <w:rsid w:val="00A6526E"/>
    <w:rsid w:val="00A65C4B"/>
    <w:rsid w:val="00A7070E"/>
    <w:rsid w:val="00A7186B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1AB2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65DE1"/>
    <w:rsid w:val="00C71FA1"/>
    <w:rsid w:val="00C73BCD"/>
    <w:rsid w:val="00C74F52"/>
    <w:rsid w:val="00C75072"/>
    <w:rsid w:val="00C7674A"/>
    <w:rsid w:val="00C7758D"/>
    <w:rsid w:val="00C80392"/>
    <w:rsid w:val="00C813A7"/>
    <w:rsid w:val="00C823F0"/>
    <w:rsid w:val="00C8273B"/>
    <w:rsid w:val="00C85DCF"/>
    <w:rsid w:val="00C85F82"/>
    <w:rsid w:val="00C869AC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17DFF"/>
    <w:rsid w:val="00D251E0"/>
    <w:rsid w:val="00D26386"/>
    <w:rsid w:val="00D33120"/>
    <w:rsid w:val="00D35165"/>
    <w:rsid w:val="00D511F2"/>
    <w:rsid w:val="00D52BCC"/>
    <w:rsid w:val="00D63F78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2BC7"/>
    <w:rsid w:val="00DB5A70"/>
    <w:rsid w:val="00DB7098"/>
    <w:rsid w:val="00DC5589"/>
    <w:rsid w:val="00DC78C9"/>
    <w:rsid w:val="00DE5E99"/>
    <w:rsid w:val="00DF2E7F"/>
    <w:rsid w:val="00DF3EEE"/>
    <w:rsid w:val="00DF68A7"/>
    <w:rsid w:val="00E00B25"/>
    <w:rsid w:val="00E02043"/>
    <w:rsid w:val="00E02362"/>
    <w:rsid w:val="00E03FC5"/>
    <w:rsid w:val="00E14E27"/>
    <w:rsid w:val="00E17E2B"/>
    <w:rsid w:val="00E20657"/>
    <w:rsid w:val="00E20DEA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3713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060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0530"/>
    <w:rsid w:val="00F625FE"/>
    <w:rsid w:val="00F72B7F"/>
    <w:rsid w:val="00F76102"/>
    <w:rsid w:val="00F84E6B"/>
    <w:rsid w:val="00F93618"/>
    <w:rsid w:val="00F97228"/>
    <w:rsid w:val="00FA04D0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D3E67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12</Pages>
  <Words>4896</Words>
  <Characters>27911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340</cp:revision>
  <cp:lastPrinted>2024-03-13T08:17:00Z</cp:lastPrinted>
  <dcterms:created xsi:type="dcterms:W3CDTF">2017-02-17T03:17:00Z</dcterms:created>
  <dcterms:modified xsi:type="dcterms:W3CDTF">2024-12-24T11:36:00Z</dcterms:modified>
</cp:coreProperties>
</file>